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605A" w14:textId="77777777" w:rsidR="00602561" w:rsidRPr="007E2FFB" w:rsidRDefault="00A72EFD" w:rsidP="006E30E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Pupil Premium Strategy for 2021-22</w:t>
      </w:r>
    </w:p>
    <w:p w14:paraId="54916AE9" w14:textId="77777777" w:rsidR="00884069" w:rsidRPr="00602561" w:rsidRDefault="00C913F3" w:rsidP="00602561">
      <w:pPr>
        <w:rPr>
          <w:b/>
        </w:rPr>
      </w:pPr>
      <w:r>
        <w:rPr>
          <w:b/>
        </w:rPr>
        <w:t>Based upon the evaluation of the outcomes from the previous acade</w:t>
      </w:r>
      <w:r w:rsidR="00DE37CC">
        <w:rPr>
          <w:b/>
        </w:rPr>
        <w:t>mic year, research of projects</w:t>
      </w:r>
      <w:r>
        <w:rPr>
          <w:b/>
        </w:rPr>
        <w:t xml:space="preserve"> for raising attainment and our own knowledge of what has worked well in our own academy the following strategy has been agreed: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42"/>
        <w:gridCol w:w="730"/>
        <w:gridCol w:w="2654"/>
        <w:gridCol w:w="2449"/>
        <w:gridCol w:w="2977"/>
        <w:gridCol w:w="3260"/>
      </w:tblGrid>
      <w:tr w:rsidR="009B083F" w:rsidRPr="00A35579" w14:paraId="689B64C1" w14:textId="77777777" w:rsidTr="00D1177A">
        <w:tc>
          <w:tcPr>
            <w:tcW w:w="14312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9BF3D31" w14:textId="7FB7C126" w:rsidR="009B083F" w:rsidRPr="00A35579" w:rsidRDefault="009B083F" w:rsidP="009B083F">
            <w:pPr>
              <w:pStyle w:val="ListParagraph"/>
              <w:numPr>
                <w:ilvl w:val="0"/>
                <w:numId w:val="10"/>
              </w:numPr>
              <w:contextualSpacing w:val="0"/>
              <w:rPr>
                <w:rFonts w:cstheme="minorHAnsi"/>
                <w:b/>
              </w:rPr>
            </w:pPr>
            <w:r w:rsidRPr="00A35579">
              <w:rPr>
                <w:rFonts w:cstheme="minorHAnsi"/>
                <w:b/>
              </w:rPr>
              <w:t>Summary information</w:t>
            </w:r>
            <w:r w:rsidR="00B02615">
              <w:rPr>
                <w:rFonts w:cstheme="minorHAnsi"/>
                <w:b/>
              </w:rPr>
              <w:t xml:space="preserve"> for 202</w:t>
            </w:r>
            <w:r w:rsidR="00635CDB">
              <w:rPr>
                <w:rFonts w:cstheme="minorHAnsi"/>
                <w:b/>
              </w:rPr>
              <w:t>1-22</w:t>
            </w:r>
          </w:p>
        </w:tc>
      </w:tr>
      <w:tr w:rsidR="0057359D" w:rsidRPr="00A35579" w14:paraId="62706C2D" w14:textId="77777777" w:rsidTr="009B083F">
        <w:tc>
          <w:tcPr>
            <w:tcW w:w="0" w:type="auto"/>
            <w:tcMar>
              <w:top w:w="57" w:type="dxa"/>
              <w:bottom w:w="57" w:type="dxa"/>
            </w:tcMar>
          </w:tcPr>
          <w:p w14:paraId="2C7525CB" w14:textId="77777777" w:rsidR="0057359D" w:rsidRPr="00A35579" w:rsidRDefault="0057359D" w:rsidP="009B08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Academy</w:t>
            </w:r>
          </w:p>
        </w:tc>
        <w:tc>
          <w:tcPr>
            <w:tcW w:w="12020" w:type="dxa"/>
            <w:gridSpan w:val="5"/>
            <w:tcMar>
              <w:top w:w="57" w:type="dxa"/>
              <w:bottom w:w="57" w:type="dxa"/>
            </w:tcMar>
          </w:tcPr>
          <w:p w14:paraId="2537A2E2" w14:textId="77777777" w:rsidR="0057359D" w:rsidRPr="00A35579" w:rsidRDefault="0057359D" w:rsidP="006357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Uplands Junior </w:t>
            </w:r>
            <w:proofErr w:type="gramStart"/>
            <w:r>
              <w:rPr>
                <w:rFonts w:cstheme="minorHAnsi"/>
              </w:rPr>
              <w:t>LEAD</w:t>
            </w:r>
            <w:proofErr w:type="gramEnd"/>
            <w:r>
              <w:rPr>
                <w:rFonts w:cstheme="minorHAnsi"/>
              </w:rPr>
              <w:t xml:space="preserve"> Academy</w:t>
            </w:r>
          </w:p>
        </w:tc>
      </w:tr>
      <w:tr w:rsidR="0057359D" w:rsidRPr="00A35579" w14:paraId="4BC9771D" w14:textId="77777777" w:rsidTr="009B083F">
        <w:tc>
          <w:tcPr>
            <w:tcW w:w="0" w:type="auto"/>
            <w:tcMar>
              <w:top w:w="57" w:type="dxa"/>
              <w:bottom w:w="57" w:type="dxa"/>
            </w:tcMar>
          </w:tcPr>
          <w:p w14:paraId="0DF2DD68" w14:textId="77777777" w:rsidR="0057359D" w:rsidRDefault="0057359D" w:rsidP="009B083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Pupil Premium Leader</w:t>
            </w:r>
          </w:p>
        </w:tc>
        <w:tc>
          <w:tcPr>
            <w:tcW w:w="12020" w:type="dxa"/>
            <w:gridSpan w:val="5"/>
            <w:tcMar>
              <w:top w:w="57" w:type="dxa"/>
              <w:bottom w:w="57" w:type="dxa"/>
            </w:tcMar>
          </w:tcPr>
          <w:p w14:paraId="39249734" w14:textId="77777777" w:rsidR="0057359D" w:rsidRPr="00A35579" w:rsidRDefault="00193B88" w:rsidP="00635740">
            <w:pPr>
              <w:rPr>
                <w:rFonts w:cstheme="minorHAnsi"/>
              </w:rPr>
            </w:pPr>
            <w:r>
              <w:rPr>
                <w:rFonts w:cstheme="minorHAnsi"/>
              </w:rPr>
              <w:t>Sonya Raybould</w:t>
            </w:r>
          </w:p>
        </w:tc>
      </w:tr>
      <w:tr w:rsidR="0057359D" w:rsidRPr="00A35579" w14:paraId="2518102C" w14:textId="77777777" w:rsidTr="00D1177A">
        <w:tc>
          <w:tcPr>
            <w:tcW w:w="0" w:type="auto"/>
            <w:tcMar>
              <w:top w:w="57" w:type="dxa"/>
              <w:bottom w:w="57" w:type="dxa"/>
            </w:tcMar>
          </w:tcPr>
          <w:p w14:paraId="0AEB697B" w14:textId="77777777" w:rsidR="0057359D" w:rsidRPr="00A35579" w:rsidRDefault="0057359D" w:rsidP="009B083F">
            <w:pPr>
              <w:rPr>
                <w:rFonts w:cstheme="minorHAnsi"/>
                <w:b/>
              </w:rPr>
            </w:pPr>
            <w:r w:rsidRPr="00A35579">
              <w:rPr>
                <w:rFonts w:cstheme="minorHAnsi"/>
                <w:b/>
              </w:rPr>
              <w:t>Academic Year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14:paraId="043A5447" w14:textId="77777777" w:rsidR="0057359D" w:rsidRPr="00A35579" w:rsidRDefault="00193B88" w:rsidP="009B083F">
            <w:pPr>
              <w:rPr>
                <w:rFonts w:cstheme="minorHAnsi"/>
              </w:rPr>
            </w:pPr>
            <w:r>
              <w:rPr>
                <w:rFonts w:cstheme="minorHAnsi"/>
              </w:rPr>
              <w:t>2021-2022</w:t>
            </w:r>
          </w:p>
        </w:tc>
        <w:tc>
          <w:tcPr>
            <w:tcW w:w="2654" w:type="dxa"/>
          </w:tcPr>
          <w:p w14:paraId="4CBFCAEF" w14:textId="77777777" w:rsidR="0057359D" w:rsidRPr="00A35579" w:rsidRDefault="0057359D" w:rsidP="009B083F">
            <w:pPr>
              <w:rPr>
                <w:rFonts w:cstheme="minorHAnsi"/>
              </w:rPr>
            </w:pPr>
            <w:r w:rsidRPr="00A35579">
              <w:rPr>
                <w:rFonts w:cstheme="minorHAnsi"/>
                <w:b/>
              </w:rPr>
              <w:t>Total PP budget</w:t>
            </w:r>
          </w:p>
        </w:tc>
        <w:tc>
          <w:tcPr>
            <w:tcW w:w="2449" w:type="dxa"/>
          </w:tcPr>
          <w:p w14:paraId="74D913EE" w14:textId="77777777" w:rsidR="002E4F32" w:rsidRPr="002E4F32" w:rsidRDefault="002E4F32" w:rsidP="002E4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6DE7AE3" w14:textId="77777777" w:rsidR="0057359D" w:rsidRPr="00A35579" w:rsidRDefault="00193B88" w:rsidP="009B083F">
            <w:pPr>
              <w:rPr>
                <w:rFonts w:cstheme="minorHAnsi"/>
              </w:rPr>
            </w:pPr>
            <w:r>
              <w:rPr>
                <w:rFonts w:cstheme="minorHAnsi"/>
              </w:rPr>
              <w:t>£137,190</w:t>
            </w:r>
          </w:p>
        </w:tc>
        <w:tc>
          <w:tcPr>
            <w:tcW w:w="2977" w:type="dxa"/>
          </w:tcPr>
          <w:p w14:paraId="601D1FD1" w14:textId="77777777" w:rsidR="0057359D" w:rsidRPr="00A35579" w:rsidRDefault="0057359D" w:rsidP="009B083F">
            <w:pPr>
              <w:rPr>
                <w:rFonts w:cstheme="minorHAnsi"/>
              </w:rPr>
            </w:pPr>
            <w:r w:rsidRPr="00A35579">
              <w:rPr>
                <w:rFonts w:cstheme="minorHAnsi"/>
                <w:b/>
              </w:rPr>
              <w:t>Date of most recent PP Review</w:t>
            </w:r>
          </w:p>
        </w:tc>
        <w:tc>
          <w:tcPr>
            <w:tcW w:w="3260" w:type="dxa"/>
          </w:tcPr>
          <w:p w14:paraId="585A8E75" w14:textId="77777777" w:rsidR="0057359D" w:rsidRPr="00A35579" w:rsidRDefault="00193B88" w:rsidP="009B083F">
            <w:pPr>
              <w:rPr>
                <w:rFonts w:cstheme="minorHAnsi"/>
              </w:rPr>
            </w:pPr>
            <w:r>
              <w:rPr>
                <w:rFonts w:cstheme="minorHAnsi"/>
              </w:rPr>
              <w:t>31/08/2021</w:t>
            </w:r>
          </w:p>
        </w:tc>
      </w:tr>
      <w:tr w:rsidR="0057359D" w:rsidRPr="00A35579" w14:paraId="4C03822C" w14:textId="77777777" w:rsidTr="00D1177A">
        <w:tc>
          <w:tcPr>
            <w:tcW w:w="0" w:type="auto"/>
            <w:tcMar>
              <w:top w:w="57" w:type="dxa"/>
              <w:bottom w:w="57" w:type="dxa"/>
            </w:tcMar>
          </w:tcPr>
          <w:p w14:paraId="27313084" w14:textId="77777777" w:rsidR="0057359D" w:rsidRPr="00A35579" w:rsidRDefault="0057359D" w:rsidP="009B083F">
            <w:pPr>
              <w:rPr>
                <w:rFonts w:cstheme="minorHAnsi"/>
              </w:rPr>
            </w:pPr>
            <w:r w:rsidRPr="00A35579">
              <w:rPr>
                <w:rFonts w:cstheme="minorHAnsi"/>
                <w:b/>
              </w:rPr>
              <w:t>Total number of pupils</w:t>
            </w:r>
          </w:p>
        </w:tc>
        <w:tc>
          <w:tcPr>
            <w:tcW w:w="680" w:type="dxa"/>
            <w:tcMar>
              <w:top w:w="57" w:type="dxa"/>
              <w:bottom w:w="57" w:type="dxa"/>
            </w:tcMar>
          </w:tcPr>
          <w:p w14:paraId="251F0B33" w14:textId="1F3188E8" w:rsidR="0057359D" w:rsidRPr="00A35579" w:rsidRDefault="006D55D1" w:rsidP="009B083F">
            <w:pPr>
              <w:rPr>
                <w:rFonts w:cstheme="minorHAnsi"/>
              </w:rPr>
            </w:pPr>
            <w:r>
              <w:rPr>
                <w:rFonts w:cstheme="minorHAnsi"/>
              </w:rPr>
              <w:t>476</w:t>
            </w:r>
          </w:p>
        </w:tc>
        <w:tc>
          <w:tcPr>
            <w:tcW w:w="2654" w:type="dxa"/>
          </w:tcPr>
          <w:p w14:paraId="32FD75CD" w14:textId="77777777" w:rsidR="0057359D" w:rsidRPr="00A35579" w:rsidRDefault="0057359D" w:rsidP="009B083F">
            <w:pPr>
              <w:rPr>
                <w:rFonts w:cstheme="minorHAnsi"/>
              </w:rPr>
            </w:pPr>
            <w:r w:rsidRPr="00A35579">
              <w:rPr>
                <w:rFonts w:cstheme="minorHAnsi"/>
                <w:b/>
              </w:rPr>
              <w:t>Number of pupils eligible for PP</w:t>
            </w:r>
          </w:p>
        </w:tc>
        <w:tc>
          <w:tcPr>
            <w:tcW w:w="2449" w:type="dxa"/>
          </w:tcPr>
          <w:p w14:paraId="409CFDE2" w14:textId="568CB706" w:rsidR="0057359D" w:rsidRPr="00A35579" w:rsidRDefault="006D55D1" w:rsidP="009B083F">
            <w:pPr>
              <w:rPr>
                <w:rFonts w:cstheme="minorHAnsi"/>
              </w:rPr>
            </w:pPr>
            <w:r>
              <w:rPr>
                <w:rFonts w:cstheme="minorHAnsi"/>
              </w:rPr>
              <w:t>46 current children (DfE list) plus 96 additional pupils currently FSM</w:t>
            </w:r>
          </w:p>
        </w:tc>
        <w:tc>
          <w:tcPr>
            <w:tcW w:w="2977" w:type="dxa"/>
          </w:tcPr>
          <w:p w14:paraId="61C49AB8" w14:textId="77777777" w:rsidR="0057359D" w:rsidRPr="00A35579" w:rsidRDefault="0057359D" w:rsidP="009B083F">
            <w:pPr>
              <w:rPr>
                <w:rFonts w:cstheme="minorHAnsi"/>
              </w:rPr>
            </w:pPr>
            <w:r w:rsidRPr="00A35579">
              <w:rPr>
                <w:rFonts w:cstheme="minorHAnsi"/>
                <w:b/>
              </w:rPr>
              <w:t>Date for next internal review of this strategy</w:t>
            </w:r>
          </w:p>
        </w:tc>
        <w:tc>
          <w:tcPr>
            <w:tcW w:w="3260" w:type="dxa"/>
          </w:tcPr>
          <w:p w14:paraId="4E7079F5" w14:textId="1A9BBD3E" w:rsidR="0057359D" w:rsidRPr="00A35579" w:rsidRDefault="007041C2" w:rsidP="009B083F">
            <w:pPr>
              <w:rPr>
                <w:rFonts w:cstheme="minorHAnsi"/>
              </w:rPr>
            </w:pPr>
            <w:r w:rsidRPr="006D55D1">
              <w:rPr>
                <w:rFonts w:cstheme="minorHAnsi"/>
              </w:rPr>
              <w:t>End of term 2 2022</w:t>
            </w:r>
          </w:p>
        </w:tc>
      </w:tr>
    </w:tbl>
    <w:p w14:paraId="3DA5A77A" w14:textId="77777777" w:rsidR="00490359" w:rsidRDefault="00490359">
      <w:pPr>
        <w:rPr>
          <w:color w:val="FF0000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6799"/>
        <w:gridCol w:w="7513"/>
      </w:tblGrid>
      <w:tr w:rsidR="009B083F" w:rsidRPr="00A35579" w14:paraId="623C3EE2" w14:textId="77777777" w:rsidTr="00D1177A">
        <w:tc>
          <w:tcPr>
            <w:tcW w:w="14312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716D6D4" w14:textId="77777777" w:rsidR="009B083F" w:rsidRPr="00D1177A" w:rsidRDefault="009B083F" w:rsidP="00D1177A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D1177A">
              <w:rPr>
                <w:rFonts w:cstheme="minorHAnsi"/>
                <w:b/>
              </w:rPr>
              <w:t>Barriers to future attainment (for pupils eligible for PP including high ability)</w:t>
            </w:r>
          </w:p>
        </w:tc>
      </w:tr>
      <w:tr w:rsidR="00D1177A" w:rsidRPr="00A35579" w14:paraId="0F29D2C6" w14:textId="77777777" w:rsidTr="00D1177A">
        <w:tc>
          <w:tcPr>
            <w:tcW w:w="679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C4542F6" w14:textId="77777777" w:rsidR="00D1177A" w:rsidRPr="00A35579" w:rsidRDefault="00D1177A" w:rsidP="00D1177A">
            <w:pPr>
              <w:rPr>
                <w:rFonts w:cstheme="minorHAnsi"/>
                <w:b/>
              </w:rPr>
            </w:pPr>
            <w:r w:rsidRPr="00A35579">
              <w:rPr>
                <w:rFonts w:cstheme="minorHAnsi"/>
                <w:b/>
              </w:rPr>
              <w:t xml:space="preserve">In-school barriers </w:t>
            </w:r>
            <w:r w:rsidRPr="00A35579">
              <w:rPr>
                <w:rFonts w:cstheme="minorHAnsi"/>
                <w:i/>
              </w:rPr>
              <w:t xml:space="preserve">(issues to be addressed in school, </w:t>
            </w:r>
            <w:r>
              <w:rPr>
                <w:rFonts w:cstheme="minorHAnsi"/>
                <w:i/>
              </w:rPr>
              <w:t>such as weak teaching, low attainment of whole cohort, etc</w:t>
            </w:r>
            <w:r w:rsidRPr="00A35579">
              <w:rPr>
                <w:rFonts w:cstheme="minorHAnsi"/>
                <w:i/>
              </w:rPr>
              <w:t>)</w:t>
            </w:r>
          </w:p>
        </w:tc>
        <w:tc>
          <w:tcPr>
            <w:tcW w:w="7513" w:type="dxa"/>
            <w:shd w:val="clear" w:color="auto" w:fill="D9D9D9" w:themeFill="background1" w:themeFillShade="D9"/>
          </w:tcPr>
          <w:p w14:paraId="4826AF8F" w14:textId="77777777" w:rsidR="00D1177A" w:rsidRPr="00A35579" w:rsidRDefault="00D1177A" w:rsidP="00D1177A">
            <w:pPr>
              <w:rPr>
                <w:rFonts w:cstheme="minorHAnsi"/>
                <w:b/>
              </w:rPr>
            </w:pPr>
            <w:r w:rsidRPr="00A35579">
              <w:rPr>
                <w:rFonts w:cstheme="minorHAnsi"/>
                <w:b/>
              </w:rPr>
              <w:t xml:space="preserve">External barriers </w:t>
            </w:r>
            <w:r w:rsidRPr="00A35579">
              <w:rPr>
                <w:rFonts w:cstheme="minorHAnsi"/>
                <w:i/>
              </w:rPr>
              <w:t>(issues which also require action outside school, such as low attendance rates</w:t>
            </w:r>
            <w:r>
              <w:rPr>
                <w:rFonts w:cstheme="minorHAnsi"/>
                <w:i/>
              </w:rPr>
              <w:t>, high new EAL, mobility, social care and safeguarding</w:t>
            </w:r>
            <w:r w:rsidRPr="00A35579">
              <w:rPr>
                <w:rFonts w:cstheme="minorHAnsi"/>
                <w:i/>
              </w:rPr>
              <w:t>)</w:t>
            </w:r>
            <w:r>
              <w:rPr>
                <w:rFonts w:cstheme="minorHAnsi"/>
                <w:i/>
              </w:rPr>
              <w:t xml:space="preserve"> </w:t>
            </w:r>
          </w:p>
        </w:tc>
      </w:tr>
      <w:tr w:rsidR="00BF7D3F" w:rsidRPr="00A35579" w14:paraId="4084CBDA" w14:textId="77777777" w:rsidTr="00EF26DC">
        <w:tc>
          <w:tcPr>
            <w:tcW w:w="6799" w:type="dxa"/>
            <w:tcMar>
              <w:top w:w="57" w:type="dxa"/>
              <w:bottom w:w="57" w:type="dxa"/>
            </w:tcMar>
            <w:vAlign w:val="center"/>
          </w:tcPr>
          <w:p w14:paraId="5287B6E4" w14:textId="08018D9C" w:rsidR="00BF7D3F" w:rsidRPr="006D55D1" w:rsidRDefault="00BF7D3F" w:rsidP="00EF26DC">
            <w:pPr>
              <w:rPr>
                <w:rFonts w:eastAsia="Times New Roman" w:cstheme="minorHAnsi"/>
                <w:color w:val="2F2F2F"/>
                <w:sz w:val="24"/>
                <w:szCs w:val="24"/>
                <w:lang w:eastAsia="en-GB"/>
              </w:rPr>
            </w:pPr>
          </w:p>
        </w:tc>
        <w:tc>
          <w:tcPr>
            <w:tcW w:w="7513" w:type="dxa"/>
            <w:vAlign w:val="center"/>
          </w:tcPr>
          <w:p w14:paraId="3B80352D" w14:textId="040F878B" w:rsidR="00BF7D3F" w:rsidRPr="006D55D1" w:rsidRDefault="008978E9" w:rsidP="00EF26D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D55D1">
              <w:rPr>
                <w:rFonts w:eastAsia="Times New Roman" w:cstheme="minorHAnsi"/>
                <w:sz w:val="24"/>
                <w:szCs w:val="24"/>
                <w:lang w:eastAsia="en-GB"/>
              </w:rPr>
              <w:t>Narrow l</w:t>
            </w:r>
            <w:r w:rsidR="00BF7D3F" w:rsidRPr="006D55D1">
              <w:rPr>
                <w:rFonts w:eastAsia="Times New Roman" w:cstheme="minorHAnsi"/>
                <w:sz w:val="24"/>
                <w:szCs w:val="24"/>
                <w:lang w:eastAsia="en-GB"/>
              </w:rPr>
              <w:t>ife experiences outside of school</w:t>
            </w:r>
            <w:r w:rsidRPr="006D55D1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</w:tc>
      </w:tr>
      <w:tr w:rsidR="00BF7D3F" w:rsidRPr="00A35579" w14:paraId="59F33572" w14:textId="77777777" w:rsidTr="00EF26DC">
        <w:tc>
          <w:tcPr>
            <w:tcW w:w="6799" w:type="dxa"/>
            <w:tcMar>
              <w:top w:w="57" w:type="dxa"/>
              <w:bottom w:w="57" w:type="dxa"/>
            </w:tcMar>
            <w:vAlign w:val="center"/>
          </w:tcPr>
          <w:p w14:paraId="418D2F21" w14:textId="26CB6280" w:rsidR="00BF7D3F" w:rsidRPr="006D55D1" w:rsidRDefault="007041C2" w:rsidP="00EF26D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D55D1">
              <w:rPr>
                <w:rFonts w:eastAsia="Times New Roman" w:cstheme="minorHAnsi"/>
                <w:sz w:val="24"/>
                <w:szCs w:val="24"/>
                <w:lang w:eastAsia="en-GB"/>
              </w:rPr>
              <w:t>Knowledge of vocabulary</w:t>
            </w:r>
            <w:r w:rsidR="00170340" w:rsidRPr="006D55D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language</w:t>
            </w:r>
          </w:p>
        </w:tc>
        <w:tc>
          <w:tcPr>
            <w:tcW w:w="7513" w:type="dxa"/>
            <w:vAlign w:val="center"/>
          </w:tcPr>
          <w:p w14:paraId="6055E306" w14:textId="03D24BEB" w:rsidR="00BF7D3F" w:rsidRPr="006D55D1" w:rsidRDefault="00BF7D3F" w:rsidP="00EF26D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D55D1">
              <w:rPr>
                <w:rFonts w:eastAsia="Times New Roman" w:cstheme="minorHAnsi"/>
                <w:sz w:val="24"/>
                <w:szCs w:val="24"/>
                <w:lang w:eastAsia="en-GB"/>
              </w:rPr>
              <w:t>High percentage of children new to English</w:t>
            </w:r>
            <w:r w:rsidR="008978E9" w:rsidRPr="006D55D1">
              <w:rPr>
                <w:rFonts w:eastAsia="Times New Roman" w:cstheme="minorHAnsi"/>
                <w:sz w:val="24"/>
                <w:szCs w:val="24"/>
                <w:lang w:eastAsia="en-GB"/>
              </w:rPr>
              <w:t>, 23 languages spoken by children. Many parents are not fluent in English.</w:t>
            </w:r>
          </w:p>
        </w:tc>
      </w:tr>
      <w:tr w:rsidR="00BF7D3F" w:rsidRPr="00A35579" w14:paraId="6AC5A270" w14:textId="77777777" w:rsidTr="00EF26DC">
        <w:tc>
          <w:tcPr>
            <w:tcW w:w="6799" w:type="dxa"/>
            <w:tcMar>
              <w:top w:w="57" w:type="dxa"/>
              <w:bottom w:w="57" w:type="dxa"/>
            </w:tcMar>
            <w:vAlign w:val="center"/>
          </w:tcPr>
          <w:p w14:paraId="62562F34" w14:textId="2825E398" w:rsidR="00BF7D3F" w:rsidRPr="006D55D1" w:rsidRDefault="00BF7D3F" w:rsidP="00EF26D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D55D1">
              <w:rPr>
                <w:rFonts w:eastAsia="Times New Roman" w:cstheme="minorHAnsi"/>
                <w:sz w:val="24"/>
                <w:szCs w:val="24"/>
                <w:lang w:eastAsia="en-GB"/>
              </w:rPr>
              <w:t>Subject knowledge</w:t>
            </w:r>
            <w:r w:rsidR="007041C2" w:rsidRPr="006D55D1">
              <w:rPr>
                <w:rFonts w:eastAsia="Times New Roman" w:cstheme="minorHAnsi"/>
                <w:sz w:val="24"/>
                <w:szCs w:val="24"/>
                <w:lang w:eastAsia="en-GB"/>
              </w:rPr>
              <w:t>/general knowledge</w:t>
            </w:r>
            <w:r w:rsidRPr="006D55D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9153AB" w:rsidRPr="006D55D1">
              <w:rPr>
                <w:rFonts w:eastAsia="Times New Roman" w:cstheme="minorHAnsi"/>
                <w:sz w:val="24"/>
                <w:szCs w:val="24"/>
                <w:lang w:eastAsia="en-GB"/>
              </w:rPr>
              <w:t>to achieve and make progress.</w:t>
            </w:r>
          </w:p>
        </w:tc>
        <w:tc>
          <w:tcPr>
            <w:tcW w:w="7513" w:type="dxa"/>
            <w:vAlign w:val="center"/>
          </w:tcPr>
          <w:p w14:paraId="1F5DC119" w14:textId="77777777" w:rsidR="00BF7D3F" w:rsidRPr="006D55D1" w:rsidRDefault="00BF7D3F" w:rsidP="00EF26D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D55D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Time pupils </w:t>
            </w:r>
            <w:proofErr w:type="gramStart"/>
            <w:r w:rsidRPr="006D55D1">
              <w:rPr>
                <w:rFonts w:eastAsia="Times New Roman" w:cstheme="minorHAnsi"/>
                <w:sz w:val="24"/>
                <w:szCs w:val="24"/>
                <w:lang w:eastAsia="en-GB"/>
              </w:rPr>
              <w:t>have to</w:t>
            </w:r>
            <w:proofErr w:type="gramEnd"/>
            <w:r w:rsidRPr="006D55D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complete home learning tasks due to religious commitments</w:t>
            </w:r>
          </w:p>
        </w:tc>
      </w:tr>
      <w:tr w:rsidR="00BF7D3F" w:rsidRPr="00A35579" w14:paraId="0A32743C" w14:textId="77777777" w:rsidTr="00EF26DC">
        <w:trPr>
          <w:trHeight w:val="70"/>
        </w:trPr>
        <w:tc>
          <w:tcPr>
            <w:tcW w:w="6799" w:type="dxa"/>
            <w:tcMar>
              <w:top w:w="57" w:type="dxa"/>
              <w:bottom w:w="57" w:type="dxa"/>
            </w:tcMar>
            <w:vAlign w:val="center"/>
          </w:tcPr>
          <w:p w14:paraId="3AF59208" w14:textId="0E44E209" w:rsidR="00BF7D3F" w:rsidRPr="006D55D1" w:rsidRDefault="00BF7D3F" w:rsidP="00EF26D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D55D1">
              <w:rPr>
                <w:rFonts w:eastAsia="Times New Roman" w:cstheme="minorHAnsi"/>
                <w:sz w:val="24"/>
                <w:szCs w:val="24"/>
                <w:lang w:eastAsia="en-GB"/>
              </w:rPr>
              <w:t>Term time holidays</w:t>
            </w:r>
            <w:r w:rsidR="007041C2" w:rsidRPr="006D55D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attendance. </w:t>
            </w:r>
          </w:p>
        </w:tc>
        <w:tc>
          <w:tcPr>
            <w:tcW w:w="7513" w:type="dxa"/>
            <w:vAlign w:val="center"/>
          </w:tcPr>
          <w:p w14:paraId="79F013BF" w14:textId="35B717DD" w:rsidR="00BF7D3F" w:rsidRPr="006D55D1" w:rsidRDefault="00BF7D3F" w:rsidP="00EF26D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BF7D3F" w:rsidRPr="00A35579" w14:paraId="3948E6A7" w14:textId="77777777" w:rsidTr="00D1177A">
        <w:trPr>
          <w:trHeight w:val="70"/>
        </w:trPr>
        <w:tc>
          <w:tcPr>
            <w:tcW w:w="6799" w:type="dxa"/>
            <w:tcMar>
              <w:top w:w="57" w:type="dxa"/>
              <w:bottom w:w="57" w:type="dxa"/>
            </w:tcMar>
          </w:tcPr>
          <w:p w14:paraId="4CA1E05D" w14:textId="299C9EA3" w:rsidR="00BF7D3F" w:rsidRPr="006D55D1" w:rsidRDefault="00117777" w:rsidP="00D1177A">
            <w:pPr>
              <w:tabs>
                <w:tab w:val="left" w:pos="60"/>
                <w:tab w:val="left" w:pos="426"/>
              </w:tabs>
              <w:rPr>
                <w:rFonts w:cstheme="minorHAnsi"/>
                <w:sz w:val="24"/>
                <w:szCs w:val="24"/>
              </w:rPr>
            </w:pPr>
            <w:r w:rsidRPr="006D55D1">
              <w:rPr>
                <w:rFonts w:cstheme="minorHAnsi"/>
                <w:sz w:val="24"/>
                <w:szCs w:val="24"/>
              </w:rPr>
              <w:t>Broader life experiences limited.</w:t>
            </w:r>
          </w:p>
        </w:tc>
        <w:tc>
          <w:tcPr>
            <w:tcW w:w="7513" w:type="dxa"/>
          </w:tcPr>
          <w:p w14:paraId="79291CF5" w14:textId="77777777" w:rsidR="00BF7D3F" w:rsidRPr="006D55D1" w:rsidRDefault="00F63B8C" w:rsidP="00D1177A">
            <w:pPr>
              <w:rPr>
                <w:rFonts w:cstheme="minorHAnsi"/>
                <w:sz w:val="24"/>
                <w:szCs w:val="24"/>
              </w:rPr>
            </w:pPr>
            <w:r w:rsidRPr="006D55D1">
              <w:rPr>
                <w:rFonts w:eastAsia="Times New Roman" w:cstheme="minorHAnsi"/>
                <w:sz w:val="24"/>
                <w:szCs w:val="24"/>
                <w:lang w:eastAsia="en-GB"/>
              </w:rPr>
              <w:t>Pupils have limited access to the internet</w:t>
            </w:r>
          </w:p>
        </w:tc>
      </w:tr>
    </w:tbl>
    <w:p w14:paraId="3CC5740D" w14:textId="77777777" w:rsidR="00293C03" w:rsidRPr="00EF26DC" w:rsidRDefault="00293C03" w:rsidP="00EF26DC">
      <w:pPr>
        <w:shd w:val="clear" w:color="auto" w:fill="FFFFFF"/>
        <w:spacing w:before="107" w:after="107" w:line="240" w:lineRule="auto"/>
        <w:rPr>
          <w:rFonts w:ascii="Helvetica" w:eastAsia="Times New Roman" w:hAnsi="Helvetica" w:cs="Helvetica"/>
          <w:color w:val="2F2F2F"/>
          <w:sz w:val="17"/>
          <w:szCs w:val="17"/>
          <w:lang w:eastAsia="en-GB"/>
        </w:rPr>
      </w:pPr>
    </w:p>
    <w:p w14:paraId="7E01F953" w14:textId="77777777" w:rsidR="009254CF" w:rsidRDefault="009254CF"/>
    <w:p w14:paraId="2CC6E6DB" w14:textId="77777777" w:rsidR="00F63B8C" w:rsidRDefault="00F63B8C"/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941"/>
        <w:gridCol w:w="1460"/>
        <w:gridCol w:w="1463"/>
        <w:gridCol w:w="3489"/>
        <w:gridCol w:w="3726"/>
        <w:gridCol w:w="1415"/>
        <w:gridCol w:w="1601"/>
      </w:tblGrid>
      <w:tr w:rsidR="00193B88" w:rsidRPr="00A35579" w14:paraId="177C7C54" w14:textId="77777777" w:rsidTr="00F742A3">
        <w:tc>
          <w:tcPr>
            <w:tcW w:w="14095" w:type="dxa"/>
            <w:gridSpan w:val="7"/>
            <w:shd w:val="clear" w:color="auto" w:fill="D9D9D9" w:themeFill="background1" w:themeFillShade="D9"/>
          </w:tcPr>
          <w:p w14:paraId="65932338" w14:textId="77777777" w:rsidR="00193B88" w:rsidRDefault="00193B88" w:rsidP="005E4043"/>
          <w:p w14:paraId="58BAF601" w14:textId="77777777" w:rsidR="00193B88" w:rsidRPr="005E4043" w:rsidRDefault="00193B88" w:rsidP="00327D35">
            <w:pPr>
              <w:pStyle w:val="ListParagraph"/>
              <w:numPr>
                <w:ilvl w:val="0"/>
                <w:numId w:val="10"/>
              </w:num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Implementation and/or Impact of the curriculum</w:t>
            </w:r>
            <w:r w:rsidRPr="005E4043">
              <w:rPr>
                <w:rFonts w:cstheme="minorHAnsi"/>
                <w:b/>
              </w:rPr>
              <w:t xml:space="preserve"> – separate for each year group as each cohort has its own profile and needs</w:t>
            </w:r>
            <w:r>
              <w:rPr>
                <w:rFonts w:cstheme="minorHAnsi"/>
                <w:b/>
              </w:rPr>
              <w:t xml:space="preserve">. </w:t>
            </w:r>
            <w:r w:rsidRPr="00DF0BAF">
              <w:rPr>
                <w:rFonts w:cstheme="minorHAnsi"/>
                <w:b/>
                <w:color w:val="FF0000"/>
              </w:rPr>
              <w:t>This could include training to improve the implementation of the curriculum, strategies to engage pupils in specific curriculum areas or interventions to raise attainment in core subjects.</w:t>
            </w:r>
          </w:p>
        </w:tc>
      </w:tr>
      <w:tr w:rsidR="009153AB" w:rsidRPr="00A35579" w14:paraId="2B1C396B" w14:textId="77777777" w:rsidTr="009153AB">
        <w:tc>
          <w:tcPr>
            <w:tcW w:w="3868" w:type="dxa"/>
            <w:gridSpan w:val="3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DBA4E93" w14:textId="77777777" w:rsidR="00CF6E95" w:rsidRPr="00CF6E95" w:rsidRDefault="00CF6E95" w:rsidP="00CF6E95">
            <w:pPr>
              <w:rPr>
                <w:b/>
              </w:rPr>
            </w:pPr>
            <w:r w:rsidRPr="00CF6E95">
              <w:rPr>
                <w:b/>
              </w:rPr>
              <w:t>What do we want to achieve?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14:paraId="0F652FC0" w14:textId="77777777" w:rsidR="00CF6E95" w:rsidRPr="00CF6E95" w:rsidRDefault="00CF6E95" w:rsidP="00CF6E95">
            <w:pPr>
              <w:rPr>
                <w:b/>
              </w:rPr>
            </w:pPr>
            <w:r w:rsidRPr="00CF6E95">
              <w:rPr>
                <w:b/>
              </w:rPr>
              <w:t>How?</w:t>
            </w:r>
          </w:p>
        </w:tc>
        <w:tc>
          <w:tcPr>
            <w:tcW w:w="3726" w:type="dxa"/>
            <w:shd w:val="clear" w:color="auto" w:fill="D9D9D9" w:themeFill="background1" w:themeFillShade="D9"/>
          </w:tcPr>
          <w:p w14:paraId="37E5A421" w14:textId="77777777" w:rsidR="00CF6E95" w:rsidRPr="00CF6E95" w:rsidRDefault="00CF6E95" w:rsidP="00CF6E95">
            <w:pPr>
              <w:rPr>
                <w:b/>
              </w:rPr>
            </w:pPr>
            <w:r w:rsidRPr="00CF6E95">
              <w:rPr>
                <w:b/>
              </w:rPr>
              <w:t>What is the rationale for this chosen strategy?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14:paraId="7FD6557C" w14:textId="77777777" w:rsidR="00CF6E95" w:rsidRPr="00CF6E95" w:rsidRDefault="00CF6E95" w:rsidP="00CF6E95">
            <w:pPr>
              <w:rPr>
                <w:b/>
              </w:rPr>
            </w:pPr>
            <w:r w:rsidRPr="00CF6E95">
              <w:rPr>
                <w:b/>
              </w:rPr>
              <w:t>How will it be monitored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5C9A6B88" w14:textId="77777777" w:rsidR="00CF6E95" w:rsidRPr="00CF6E95" w:rsidRDefault="00CF6E95" w:rsidP="00CF6E95">
            <w:pPr>
              <w:rPr>
                <w:b/>
              </w:rPr>
            </w:pPr>
            <w:r w:rsidRPr="00CF6E95">
              <w:rPr>
                <w:b/>
              </w:rPr>
              <w:t>Cost?</w:t>
            </w:r>
          </w:p>
        </w:tc>
      </w:tr>
      <w:tr w:rsidR="009153AB" w:rsidRPr="00CB2876" w14:paraId="67BFF437" w14:textId="77777777" w:rsidTr="009153AB">
        <w:tc>
          <w:tcPr>
            <w:tcW w:w="943" w:type="dxa"/>
            <w:tcMar>
              <w:top w:w="57" w:type="dxa"/>
              <w:bottom w:w="57" w:type="dxa"/>
            </w:tcMar>
          </w:tcPr>
          <w:p w14:paraId="74D37EC2" w14:textId="77777777" w:rsidR="00CF6E95" w:rsidRPr="00CB2876" w:rsidRDefault="00CF6E95" w:rsidP="000149F5">
            <w:pPr>
              <w:jc w:val="both"/>
              <w:rPr>
                <w:rFonts w:cstheme="minorHAnsi"/>
                <w:i/>
                <w:sz w:val="20"/>
                <w:szCs w:val="20"/>
              </w:rPr>
            </w:pPr>
            <w:r w:rsidRPr="00CB2876">
              <w:rPr>
                <w:rFonts w:cstheme="minorHAnsi"/>
                <w:i/>
                <w:sz w:val="20"/>
                <w:szCs w:val="20"/>
              </w:rPr>
              <w:t>Year Group</w:t>
            </w:r>
          </w:p>
        </w:tc>
        <w:tc>
          <w:tcPr>
            <w:tcW w:w="1462" w:type="dxa"/>
            <w:tcMar>
              <w:top w:w="57" w:type="dxa"/>
              <w:bottom w:w="57" w:type="dxa"/>
            </w:tcMar>
          </w:tcPr>
          <w:p w14:paraId="70B2BDDA" w14:textId="77777777" w:rsidR="00CF6E95" w:rsidRPr="00CB2876" w:rsidRDefault="00CF6E95" w:rsidP="000149F5">
            <w:pPr>
              <w:rPr>
                <w:rFonts w:cstheme="minorHAnsi"/>
                <w:i/>
                <w:sz w:val="20"/>
                <w:szCs w:val="20"/>
              </w:rPr>
            </w:pPr>
            <w:r w:rsidRPr="00CB2876">
              <w:rPr>
                <w:rFonts w:cstheme="minorHAnsi"/>
                <w:i/>
                <w:sz w:val="20"/>
                <w:szCs w:val="20"/>
              </w:rPr>
              <w:t>What do you want to achieve and how they will be measured</w:t>
            </w:r>
          </w:p>
        </w:tc>
        <w:tc>
          <w:tcPr>
            <w:tcW w:w="1463" w:type="dxa"/>
          </w:tcPr>
          <w:p w14:paraId="142A4B42" w14:textId="77777777" w:rsidR="00CF6E95" w:rsidRPr="00CB2876" w:rsidRDefault="00CF6E95" w:rsidP="000149F5">
            <w:pPr>
              <w:rPr>
                <w:rFonts w:cstheme="minorHAnsi"/>
                <w:i/>
                <w:sz w:val="20"/>
                <w:szCs w:val="20"/>
              </w:rPr>
            </w:pPr>
            <w:r w:rsidRPr="00CB2876">
              <w:rPr>
                <w:rFonts w:cstheme="minorHAnsi"/>
                <w:i/>
                <w:sz w:val="20"/>
                <w:szCs w:val="20"/>
              </w:rPr>
              <w:t xml:space="preserve">Success criteria </w:t>
            </w:r>
          </w:p>
        </w:tc>
        <w:tc>
          <w:tcPr>
            <w:tcW w:w="3500" w:type="dxa"/>
          </w:tcPr>
          <w:p w14:paraId="3595EE95" w14:textId="77777777" w:rsidR="00CF6E95" w:rsidRPr="00CB2876" w:rsidRDefault="00CF6E95" w:rsidP="000149F5">
            <w:pPr>
              <w:rPr>
                <w:rFonts w:cstheme="minorHAnsi"/>
                <w:i/>
                <w:sz w:val="20"/>
                <w:szCs w:val="20"/>
              </w:rPr>
            </w:pPr>
            <w:r w:rsidRPr="00CB2876">
              <w:rPr>
                <w:rFonts w:cstheme="minorHAnsi"/>
                <w:i/>
                <w:sz w:val="20"/>
                <w:szCs w:val="20"/>
              </w:rPr>
              <w:t>How will the intervention or provision be delivered?</w:t>
            </w:r>
          </w:p>
        </w:tc>
        <w:tc>
          <w:tcPr>
            <w:tcW w:w="3726" w:type="dxa"/>
          </w:tcPr>
          <w:p w14:paraId="53EE882B" w14:textId="77777777" w:rsidR="00CF6E95" w:rsidRPr="00CB2876" w:rsidRDefault="00CF6E95" w:rsidP="000149F5">
            <w:pPr>
              <w:rPr>
                <w:rFonts w:cstheme="minorHAnsi"/>
                <w:i/>
                <w:sz w:val="20"/>
                <w:szCs w:val="20"/>
              </w:rPr>
            </w:pPr>
            <w:r w:rsidRPr="00CB2876">
              <w:rPr>
                <w:rFonts w:cstheme="minorHAnsi"/>
                <w:i/>
                <w:sz w:val="20"/>
                <w:szCs w:val="20"/>
              </w:rPr>
              <w:t>Refer to research from EEF or other research to justify the choice of strategy.</w:t>
            </w:r>
          </w:p>
        </w:tc>
        <w:tc>
          <w:tcPr>
            <w:tcW w:w="1415" w:type="dxa"/>
          </w:tcPr>
          <w:p w14:paraId="00EAC2C0" w14:textId="77777777" w:rsidR="00CF6E95" w:rsidRPr="00CB2876" w:rsidRDefault="00CF6E95" w:rsidP="000149F5">
            <w:pPr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1586" w:type="dxa"/>
          </w:tcPr>
          <w:p w14:paraId="493DED28" w14:textId="77777777" w:rsidR="00CF6E95" w:rsidRPr="00CB2876" w:rsidRDefault="00CF6E95" w:rsidP="000149F5">
            <w:pPr>
              <w:rPr>
                <w:rFonts w:cstheme="minorHAnsi"/>
                <w:i/>
                <w:sz w:val="20"/>
                <w:szCs w:val="20"/>
              </w:rPr>
            </w:pPr>
            <w:r w:rsidRPr="00CB2876">
              <w:rPr>
                <w:rFonts w:cstheme="minorHAnsi"/>
                <w:i/>
                <w:sz w:val="20"/>
                <w:szCs w:val="20"/>
              </w:rPr>
              <w:t>Provide simple breakdown of proportionate or full costs.</w:t>
            </w:r>
          </w:p>
        </w:tc>
      </w:tr>
      <w:tr w:rsidR="009153AB" w:rsidRPr="00CB2876" w14:paraId="2140EF39" w14:textId="77777777" w:rsidTr="009153AB">
        <w:tc>
          <w:tcPr>
            <w:tcW w:w="943" w:type="dxa"/>
            <w:tcMar>
              <w:top w:w="57" w:type="dxa"/>
              <w:bottom w:w="57" w:type="dxa"/>
            </w:tcMar>
          </w:tcPr>
          <w:p w14:paraId="67899F77" w14:textId="3CCB54F9" w:rsidR="008978E9" w:rsidRPr="00677B70" w:rsidRDefault="008978E9" w:rsidP="000149F5">
            <w:pPr>
              <w:tabs>
                <w:tab w:val="left" w:pos="142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77B70">
              <w:rPr>
                <w:rFonts w:cstheme="minorHAnsi"/>
                <w:b/>
                <w:sz w:val="20"/>
                <w:szCs w:val="20"/>
              </w:rPr>
              <w:t>All year groups</w:t>
            </w:r>
          </w:p>
        </w:tc>
        <w:tc>
          <w:tcPr>
            <w:tcW w:w="1462" w:type="dxa"/>
            <w:tcMar>
              <w:top w:w="57" w:type="dxa"/>
              <w:bottom w:w="57" w:type="dxa"/>
            </w:tcMar>
          </w:tcPr>
          <w:p w14:paraId="25B78328" w14:textId="0C07C7DA" w:rsidR="008978E9" w:rsidRPr="00677B70" w:rsidRDefault="008978E9" w:rsidP="000149F5">
            <w:pPr>
              <w:rPr>
                <w:rFonts w:cstheme="minorHAnsi"/>
                <w:sz w:val="20"/>
                <w:szCs w:val="20"/>
              </w:rPr>
            </w:pPr>
            <w:r w:rsidRPr="00677B70">
              <w:rPr>
                <w:rFonts w:cstheme="minorHAnsi"/>
                <w:sz w:val="20"/>
                <w:szCs w:val="20"/>
              </w:rPr>
              <w:t>Raise attendance</w:t>
            </w:r>
            <w:r w:rsidR="00117777">
              <w:rPr>
                <w:rFonts w:cstheme="minorHAnsi"/>
                <w:sz w:val="20"/>
                <w:szCs w:val="20"/>
              </w:rPr>
              <w:t xml:space="preserve"> and lower </w:t>
            </w:r>
            <w:proofErr w:type="spellStart"/>
            <w:r w:rsidR="00117777">
              <w:rPr>
                <w:rFonts w:cstheme="minorHAnsi"/>
                <w:sz w:val="20"/>
                <w:szCs w:val="20"/>
              </w:rPr>
              <w:t>persisitant</w:t>
            </w:r>
            <w:proofErr w:type="spellEnd"/>
            <w:r w:rsidR="00117777">
              <w:rPr>
                <w:rFonts w:cstheme="minorHAnsi"/>
                <w:sz w:val="20"/>
                <w:szCs w:val="20"/>
              </w:rPr>
              <w:t xml:space="preserve"> absence.</w:t>
            </w:r>
          </w:p>
        </w:tc>
        <w:tc>
          <w:tcPr>
            <w:tcW w:w="1463" w:type="dxa"/>
          </w:tcPr>
          <w:p w14:paraId="64776C79" w14:textId="504422C2" w:rsidR="008978E9" w:rsidRPr="00677B70" w:rsidRDefault="008978E9" w:rsidP="00EF26DC">
            <w:pPr>
              <w:rPr>
                <w:rFonts w:cstheme="minorHAnsi"/>
                <w:sz w:val="20"/>
                <w:szCs w:val="20"/>
              </w:rPr>
            </w:pPr>
            <w:r w:rsidRPr="00677B70">
              <w:rPr>
                <w:rFonts w:cstheme="minorHAnsi"/>
                <w:sz w:val="20"/>
                <w:szCs w:val="20"/>
              </w:rPr>
              <w:t>Aspirational target of 96% attendance</w:t>
            </w:r>
            <w:r w:rsidR="00170340">
              <w:rPr>
                <w:rFonts w:cstheme="minorHAnsi"/>
                <w:sz w:val="20"/>
                <w:szCs w:val="20"/>
              </w:rPr>
              <w:t xml:space="preserve"> and near national persistent absence.</w:t>
            </w:r>
          </w:p>
          <w:p w14:paraId="0C2F50BA" w14:textId="2AA021EB" w:rsidR="008978E9" w:rsidRPr="00677B70" w:rsidRDefault="008978E9" w:rsidP="00EF26DC">
            <w:pPr>
              <w:rPr>
                <w:rFonts w:cstheme="minorHAnsi"/>
                <w:sz w:val="20"/>
                <w:szCs w:val="20"/>
              </w:rPr>
            </w:pPr>
            <w:r w:rsidRPr="00677B70">
              <w:rPr>
                <w:rFonts w:cstheme="minorHAnsi"/>
                <w:sz w:val="20"/>
                <w:szCs w:val="20"/>
              </w:rPr>
              <w:t>PPG attendance to be within 1% of all attendance.</w:t>
            </w:r>
          </w:p>
        </w:tc>
        <w:tc>
          <w:tcPr>
            <w:tcW w:w="3500" w:type="dxa"/>
          </w:tcPr>
          <w:p w14:paraId="1AA5C85F" w14:textId="77777777" w:rsidR="008978E9" w:rsidRPr="00677B70" w:rsidRDefault="006C3DFC" w:rsidP="006C3DF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77B70">
              <w:rPr>
                <w:rFonts w:cstheme="minorHAnsi"/>
                <w:sz w:val="20"/>
                <w:szCs w:val="20"/>
              </w:rPr>
              <w:t>Amended attendance policy Jan 2022.</w:t>
            </w:r>
          </w:p>
          <w:p w14:paraId="3D4AEDE5" w14:textId="77777777" w:rsidR="006C3DFC" w:rsidRPr="00677B70" w:rsidRDefault="006C3DFC" w:rsidP="006C3DF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77B70">
              <w:rPr>
                <w:rFonts w:cstheme="minorHAnsi"/>
                <w:sz w:val="20"/>
                <w:szCs w:val="20"/>
              </w:rPr>
              <w:t>Summary of changes communicated to parents.</w:t>
            </w:r>
          </w:p>
          <w:p w14:paraId="5C823E36" w14:textId="77777777" w:rsidR="006C3DFC" w:rsidRPr="00677B70" w:rsidRDefault="006C3DFC" w:rsidP="006C3DF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77B70">
              <w:rPr>
                <w:rFonts w:cstheme="minorHAnsi"/>
                <w:sz w:val="20"/>
                <w:szCs w:val="20"/>
              </w:rPr>
              <w:t>EWO fortnightly</w:t>
            </w:r>
          </w:p>
          <w:p w14:paraId="7528243E" w14:textId="77777777" w:rsidR="006C3DFC" w:rsidRPr="00677B70" w:rsidRDefault="006C3DFC" w:rsidP="006C3DF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77B70">
              <w:rPr>
                <w:rFonts w:cstheme="minorHAnsi"/>
                <w:sz w:val="20"/>
                <w:szCs w:val="20"/>
              </w:rPr>
              <w:t>Office staff chase every absence, every day.</w:t>
            </w:r>
          </w:p>
          <w:p w14:paraId="5A0A58DD" w14:textId="77777777" w:rsidR="006C3DFC" w:rsidRPr="00677B70" w:rsidRDefault="006C3DFC" w:rsidP="006C3DF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77B70">
              <w:rPr>
                <w:rFonts w:cstheme="minorHAnsi"/>
                <w:sz w:val="20"/>
                <w:szCs w:val="20"/>
              </w:rPr>
              <w:t>Long term communications in different languages to parents about importance of school attendance.</w:t>
            </w:r>
          </w:p>
          <w:p w14:paraId="61859255" w14:textId="77777777" w:rsidR="006C3DFC" w:rsidRPr="00677B70" w:rsidRDefault="006C3DFC" w:rsidP="006C3DF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77B70">
              <w:rPr>
                <w:rFonts w:cstheme="minorHAnsi"/>
                <w:sz w:val="20"/>
                <w:szCs w:val="20"/>
              </w:rPr>
              <w:t>Rewards at individual and class level.</w:t>
            </w:r>
          </w:p>
          <w:p w14:paraId="0E38B615" w14:textId="2252E640" w:rsidR="006C3DFC" w:rsidRPr="00677B70" w:rsidRDefault="006C3DFC" w:rsidP="006C3DF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677B70">
              <w:rPr>
                <w:rFonts w:cstheme="minorHAnsi"/>
                <w:sz w:val="20"/>
                <w:szCs w:val="20"/>
              </w:rPr>
              <w:t>Consistency of approach for term time holidays.</w:t>
            </w:r>
          </w:p>
        </w:tc>
        <w:tc>
          <w:tcPr>
            <w:tcW w:w="3726" w:type="dxa"/>
          </w:tcPr>
          <w:p w14:paraId="30ADF42F" w14:textId="29577B75" w:rsidR="008978E9" w:rsidRPr="00677B70" w:rsidRDefault="00677B70" w:rsidP="000F5471">
            <w:pPr>
              <w:rPr>
                <w:rFonts w:cstheme="minorHAnsi"/>
                <w:sz w:val="20"/>
                <w:szCs w:val="20"/>
              </w:rPr>
            </w:pPr>
            <w:r w:rsidRPr="00677B70">
              <w:rPr>
                <w:noProof/>
              </w:rPr>
              <w:drawing>
                <wp:inline distT="0" distB="0" distL="0" distR="0" wp14:anchorId="1C27FA58" wp14:editId="19C49040">
                  <wp:extent cx="2220567" cy="879763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3554" cy="900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5" w:type="dxa"/>
          </w:tcPr>
          <w:p w14:paraId="2390B2DE" w14:textId="77777777" w:rsidR="008978E9" w:rsidRPr="00677B70" w:rsidRDefault="00677B70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677B70">
              <w:rPr>
                <w:rFonts w:cstheme="minorHAnsi"/>
                <w:noProof/>
                <w:sz w:val="20"/>
                <w:szCs w:val="20"/>
                <w:lang w:eastAsia="en-GB"/>
              </w:rPr>
              <w:t>Daily on individaul level, weekly to classes.</w:t>
            </w:r>
          </w:p>
          <w:p w14:paraId="1C7D7D87" w14:textId="573F0078" w:rsidR="00677B70" w:rsidRPr="00677B70" w:rsidRDefault="00677B70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677B70">
              <w:rPr>
                <w:rFonts w:cstheme="minorHAnsi"/>
                <w:noProof/>
                <w:sz w:val="20"/>
                <w:szCs w:val="20"/>
                <w:lang w:eastAsia="en-GB"/>
              </w:rPr>
              <w:t>Working with EWO</w:t>
            </w:r>
          </w:p>
        </w:tc>
        <w:tc>
          <w:tcPr>
            <w:tcW w:w="1586" w:type="dxa"/>
          </w:tcPr>
          <w:p w14:paraId="15455E57" w14:textId="3891CEAB" w:rsidR="008978E9" w:rsidRPr="00677B70" w:rsidRDefault="009016C0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£5871 per year.</w:t>
            </w:r>
          </w:p>
        </w:tc>
      </w:tr>
      <w:tr w:rsidR="009153AB" w:rsidRPr="00CB2876" w14:paraId="0A843C78" w14:textId="77777777" w:rsidTr="009153AB">
        <w:tc>
          <w:tcPr>
            <w:tcW w:w="943" w:type="dxa"/>
            <w:tcMar>
              <w:top w:w="57" w:type="dxa"/>
              <w:bottom w:w="57" w:type="dxa"/>
            </w:tcMar>
          </w:tcPr>
          <w:p w14:paraId="36BFC930" w14:textId="33906CEC" w:rsidR="00677B70" w:rsidRPr="00677B70" w:rsidRDefault="00677B70" w:rsidP="000149F5">
            <w:pPr>
              <w:tabs>
                <w:tab w:val="left" w:pos="142"/>
              </w:tabs>
              <w:jc w:val="both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677B70">
              <w:rPr>
                <w:rFonts w:cstheme="minorHAnsi"/>
                <w:b/>
                <w:sz w:val="20"/>
                <w:szCs w:val="20"/>
              </w:rPr>
              <w:lastRenderedPageBreak/>
              <w:t>All year groups</w:t>
            </w:r>
          </w:p>
        </w:tc>
        <w:tc>
          <w:tcPr>
            <w:tcW w:w="1462" w:type="dxa"/>
            <w:tcMar>
              <w:top w:w="57" w:type="dxa"/>
              <w:bottom w:w="57" w:type="dxa"/>
            </w:tcMar>
          </w:tcPr>
          <w:p w14:paraId="7696130C" w14:textId="06FD5F88" w:rsidR="00677B70" w:rsidRPr="00170340" w:rsidRDefault="00170340" w:rsidP="000149F5">
            <w:pPr>
              <w:rPr>
                <w:rFonts w:cstheme="minorHAnsi"/>
                <w:sz w:val="20"/>
                <w:szCs w:val="20"/>
              </w:rPr>
            </w:pPr>
            <w:r w:rsidRPr="00170340">
              <w:rPr>
                <w:rFonts w:cstheme="minorHAnsi"/>
                <w:sz w:val="20"/>
                <w:szCs w:val="20"/>
              </w:rPr>
              <w:t>Raise</w:t>
            </w:r>
            <w:r>
              <w:rPr>
                <w:rFonts w:cstheme="minorHAnsi"/>
                <w:sz w:val="20"/>
                <w:szCs w:val="20"/>
              </w:rPr>
              <w:t xml:space="preserve"> acquisition of English – new to English children and widen vocabulary of all children</w:t>
            </w:r>
          </w:p>
        </w:tc>
        <w:tc>
          <w:tcPr>
            <w:tcW w:w="1463" w:type="dxa"/>
          </w:tcPr>
          <w:p w14:paraId="7665A0AD" w14:textId="695B3204" w:rsidR="00677B70" w:rsidRPr="00677B70" w:rsidRDefault="00170340" w:rsidP="00EF26D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170340">
              <w:rPr>
                <w:rFonts w:cstheme="minorHAnsi"/>
                <w:sz w:val="20"/>
                <w:szCs w:val="20"/>
              </w:rPr>
              <w:t xml:space="preserve">Reducing numbers of children that require support for EAL </w:t>
            </w:r>
            <w:r>
              <w:rPr>
                <w:rFonts w:cstheme="minorHAnsi"/>
                <w:sz w:val="20"/>
                <w:szCs w:val="20"/>
              </w:rPr>
              <w:t>as the children progress through school.</w:t>
            </w:r>
          </w:p>
        </w:tc>
        <w:tc>
          <w:tcPr>
            <w:tcW w:w="3500" w:type="dxa"/>
          </w:tcPr>
          <w:p w14:paraId="7D68D586" w14:textId="36F20782" w:rsidR="00677B70" w:rsidRDefault="00341E50" w:rsidP="00677B70">
            <w:pPr>
              <w:rPr>
                <w:rFonts w:cstheme="minorHAnsi"/>
                <w:sz w:val="20"/>
                <w:szCs w:val="20"/>
              </w:rPr>
            </w:pPr>
            <w:r w:rsidRPr="00341E50">
              <w:rPr>
                <w:rFonts w:cstheme="minorHAnsi"/>
                <w:sz w:val="20"/>
                <w:szCs w:val="20"/>
              </w:rPr>
              <w:t>Daily phonics and reading for those children that are identified as re</w:t>
            </w:r>
            <w:r>
              <w:rPr>
                <w:rFonts w:cstheme="minorHAnsi"/>
                <w:sz w:val="20"/>
                <w:szCs w:val="20"/>
              </w:rPr>
              <w:t>q</w:t>
            </w:r>
            <w:r w:rsidRPr="00341E50">
              <w:rPr>
                <w:rFonts w:cstheme="minorHAnsi"/>
                <w:sz w:val="20"/>
                <w:szCs w:val="20"/>
              </w:rPr>
              <w:t>uiring support to read.</w:t>
            </w:r>
          </w:p>
          <w:p w14:paraId="7E16C4DD" w14:textId="4A8B4CCB" w:rsidR="00341E50" w:rsidRDefault="00341E50" w:rsidP="00677B70">
            <w:pPr>
              <w:rPr>
                <w:rFonts w:cstheme="minorHAnsi"/>
                <w:sz w:val="20"/>
                <w:szCs w:val="20"/>
              </w:rPr>
            </w:pPr>
          </w:p>
          <w:p w14:paraId="43D58E7E" w14:textId="321D5EB2" w:rsidR="00341E50" w:rsidRDefault="00341E50" w:rsidP="00677B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Flash Academy – supports learning of English language. EAL leads to monitor home use and analysis of termly assessments and report to SLT.</w:t>
            </w:r>
          </w:p>
          <w:p w14:paraId="2BC69FB1" w14:textId="7DE918A5" w:rsidR="00341E50" w:rsidRDefault="00341E50" w:rsidP="00677B70">
            <w:pPr>
              <w:rPr>
                <w:rFonts w:cstheme="minorHAnsi"/>
                <w:sz w:val="20"/>
                <w:szCs w:val="20"/>
              </w:rPr>
            </w:pPr>
          </w:p>
          <w:p w14:paraId="263294AB" w14:textId="77777777" w:rsidR="00341E50" w:rsidRDefault="00341E50" w:rsidP="00677B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Intervention by TA 8.30-9am daily.</w:t>
            </w:r>
          </w:p>
          <w:p w14:paraId="6AF16804" w14:textId="77777777" w:rsidR="00341E50" w:rsidRDefault="00341E50" w:rsidP="00677B70">
            <w:pPr>
              <w:rPr>
                <w:rFonts w:cstheme="minorHAnsi"/>
                <w:sz w:val="20"/>
                <w:szCs w:val="20"/>
              </w:rPr>
            </w:pPr>
          </w:p>
          <w:p w14:paraId="689BCC83" w14:textId="77777777" w:rsidR="00341E50" w:rsidRDefault="00341E50" w:rsidP="00677B7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EAl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leads to deliver workshop to parents.</w:t>
            </w:r>
          </w:p>
          <w:p w14:paraId="270F269F" w14:textId="77777777" w:rsidR="00341E50" w:rsidRDefault="00341E50" w:rsidP="00677B70">
            <w:pPr>
              <w:rPr>
                <w:rFonts w:cstheme="minorHAnsi"/>
                <w:sz w:val="20"/>
                <w:szCs w:val="20"/>
              </w:rPr>
            </w:pPr>
          </w:p>
          <w:p w14:paraId="33D20DA7" w14:textId="28230822" w:rsidR="00341E50" w:rsidRPr="00341E50" w:rsidRDefault="00341E50" w:rsidP="00677B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staff to prioritise the acquisition and understanding of vocabulary through every lesson.</w:t>
            </w:r>
          </w:p>
        </w:tc>
        <w:tc>
          <w:tcPr>
            <w:tcW w:w="3726" w:type="dxa"/>
          </w:tcPr>
          <w:p w14:paraId="58216480" w14:textId="77777777" w:rsidR="00677B70" w:rsidRDefault="0037052D" w:rsidP="000F5471">
            <w:hyperlink r:id="rId9" w:history="1">
              <w:r w:rsidR="00DD4353" w:rsidRPr="00DD4353">
                <w:rPr>
                  <w:color w:val="0000FF"/>
                  <w:u w:val="single"/>
                </w:rPr>
                <w:t>A systematic review of intervention research examining English language and literacy development in children with English as an Additional Language (EAL) (d2tic4wvo1iusb.cloudfront.net)</w:t>
              </w:r>
            </w:hyperlink>
          </w:p>
          <w:p w14:paraId="2F4F70D7" w14:textId="77777777" w:rsidR="00DD4353" w:rsidRDefault="00DD4353" w:rsidP="000F5471">
            <w:pPr>
              <w:rPr>
                <w:noProof/>
                <w:highlight w:val="yellow"/>
              </w:rPr>
            </w:pPr>
          </w:p>
          <w:p w14:paraId="1C627C70" w14:textId="141972A2" w:rsidR="00DD4353" w:rsidRPr="00677B70" w:rsidRDefault="00DD4353" w:rsidP="000F5471">
            <w:pPr>
              <w:rPr>
                <w:noProof/>
                <w:highlight w:val="yellow"/>
              </w:rPr>
            </w:pPr>
          </w:p>
        </w:tc>
        <w:tc>
          <w:tcPr>
            <w:tcW w:w="1415" w:type="dxa"/>
          </w:tcPr>
          <w:p w14:paraId="2085C7CD" w14:textId="77777777" w:rsidR="00677B70" w:rsidRPr="00DD4353" w:rsidRDefault="00DD4353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D4353">
              <w:rPr>
                <w:rFonts w:cstheme="minorHAnsi"/>
                <w:noProof/>
                <w:sz w:val="20"/>
                <w:szCs w:val="20"/>
                <w:lang w:eastAsia="en-GB"/>
              </w:rPr>
              <w:t>Assessment data.</w:t>
            </w:r>
          </w:p>
          <w:p w14:paraId="094C9415" w14:textId="7655E9C5" w:rsidR="00DD4353" w:rsidRPr="00677B70" w:rsidRDefault="00DD4353" w:rsidP="00EF26DC">
            <w:pPr>
              <w:rPr>
                <w:rFonts w:cstheme="minorHAnsi"/>
                <w:noProof/>
                <w:sz w:val="20"/>
                <w:szCs w:val="20"/>
                <w:highlight w:val="yellow"/>
                <w:lang w:eastAsia="en-GB"/>
              </w:rPr>
            </w:pPr>
            <w:r w:rsidRPr="00DD4353">
              <w:rPr>
                <w:rFonts w:cstheme="minorHAnsi"/>
                <w:noProof/>
                <w:sz w:val="20"/>
                <w:szCs w:val="20"/>
                <w:lang w:eastAsia="en-GB"/>
              </w:rPr>
              <w:t>Pupil voice</w:t>
            </w:r>
          </w:p>
        </w:tc>
        <w:tc>
          <w:tcPr>
            <w:tcW w:w="1586" w:type="dxa"/>
          </w:tcPr>
          <w:p w14:paraId="25D2A6C6" w14:textId="77777777" w:rsidR="00677B70" w:rsidRDefault="00DD4353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DD4353">
              <w:rPr>
                <w:rFonts w:cstheme="minorHAnsi"/>
                <w:noProof/>
                <w:sz w:val="20"/>
                <w:szCs w:val="20"/>
                <w:lang w:eastAsia="en-GB"/>
              </w:rPr>
              <w:t>Flash Academy</w:t>
            </w:r>
          </w:p>
          <w:p w14:paraId="59D9905E" w14:textId="68EEA23B" w:rsidR="00DD4353" w:rsidRPr="00677B70" w:rsidRDefault="00DD4353" w:rsidP="00EF26DC">
            <w:pPr>
              <w:rPr>
                <w:rFonts w:cstheme="minorHAnsi"/>
                <w:noProof/>
                <w:sz w:val="20"/>
                <w:szCs w:val="20"/>
                <w:highlight w:val="yellow"/>
                <w:lang w:eastAsia="en-GB"/>
              </w:rPr>
            </w:pPr>
          </w:p>
        </w:tc>
      </w:tr>
      <w:tr w:rsidR="009153AB" w:rsidRPr="00CB2876" w14:paraId="36A9BDE9" w14:textId="77777777" w:rsidTr="009153AB">
        <w:tc>
          <w:tcPr>
            <w:tcW w:w="943" w:type="dxa"/>
            <w:tcMar>
              <w:top w:w="57" w:type="dxa"/>
              <w:bottom w:w="57" w:type="dxa"/>
            </w:tcMar>
          </w:tcPr>
          <w:p w14:paraId="4A08E1BC" w14:textId="5EB4EC5D" w:rsidR="009E2DBA" w:rsidRPr="00CB2876" w:rsidRDefault="00DD3A27" w:rsidP="000149F5">
            <w:pPr>
              <w:tabs>
                <w:tab w:val="left" w:pos="142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All year groups</w:t>
            </w:r>
          </w:p>
        </w:tc>
        <w:tc>
          <w:tcPr>
            <w:tcW w:w="1462" w:type="dxa"/>
            <w:tcMar>
              <w:top w:w="57" w:type="dxa"/>
              <w:bottom w:w="57" w:type="dxa"/>
            </w:tcMar>
          </w:tcPr>
          <w:p w14:paraId="1C355B6F" w14:textId="628F60B1" w:rsidR="009E2DBA" w:rsidRPr="00CB2876" w:rsidRDefault="00DD3A27" w:rsidP="000149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increase knowledge of the world arou</w:t>
            </w:r>
            <w:r w:rsidR="00117777">
              <w:rPr>
                <w:rFonts w:cstheme="minorHAnsi"/>
                <w:sz w:val="20"/>
                <w:szCs w:val="20"/>
              </w:rPr>
              <w:t>nd them through wider experiences.</w:t>
            </w:r>
          </w:p>
        </w:tc>
        <w:tc>
          <w:tcPr>
            <w:tcW w:w="1463" w:type="dxa"/>
          </w:tcPr>
          <w:p w14:paraId="3265CDE9" w14:textId="09AE8A70" w:rsidR="009E2DBA" w:rsidRPr="00CB2876" w:rsidRDefault="00117777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All PPG children and parents are made aware of the offer.</w:t>
            </w:r>
          </w:p>
        </w:tc>
        <w:tc>
          <w:tcPr>
            <w:tcW w:w="3500" w:type="dxa"/>
          </w:tcPr>
          <w:p w14:paraId="02904C9A" w14:textId="77777777" w:rsidR="00F63B8C" w:rsidRDefault="00117777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All PPG children will receive:</w:t>
            </w:r>
          </w:p>
          <w:p w14:paraId="241D91EC" w14:textId="77777777" w:rsidR="00117777" w:rsidRPr="00117777" w:rsidRDefault="00117777" w:rsidP="0011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17777">
              <w:rPr>
                <w:rFonts w:cstheme="minorHAnsi"/>
                <w:noProof/>
                <w:sz w:val="20"/>
                <w:szCs w:val="20"/>
                <w:lang w:eastAsia="en-GB"/>
              </w:rPr>
              <w:t>Free milk</w:t>
            </w:r>
          </w:p>
          <w:p w14:paraId="65297855" w14:textId="77777777" w:rsidR="00117777" w:rsidRPr="00117777" w:rsidRDefault="00117777" w:rsidP="0011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17777">
              <w:rPr>
                <w:rFonts w:cstheme="minorHAnsi"/>
                <w:noProof/>
                <w:sz w:val="20"/>
                <w:szCs w:val="20"/>
                <w:lang w:eastAsia="en-GB"/>
              </w:rPr>
              <w:t>Free school trips and residential visits</w:t>
            </w:r>
          </w:p>
          <w:p w14:paraId="08D46A26" w14:textId="77777777" w:rsidR="00117777" w:rsidRPr="00117777" w:rsidRDefault="00117777" w:rsidP="0011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17777">
              <w:rPr>
                <w:rFonts w:cstheme="minorHAnsi"/>
                <w:noProof/>
                <w:sz w:val="20"/>
                <w:szCs w:val="20"/>
                <w:lang w:eastAsia="en-GB"/>
              </w:rPr>
              <w:t>Free musical instrument tuition for 1 term per academic year.</w:t>
            </w:r>
          </w:p>
          <w:p w14:paraId="59E62029" w14:textId="77777777" w:rsidR="00117777" w:rsidRPr="00117777" w:rsidRDefault="00117777" w:rsidP="0011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17777">
              <w:rPr>
                <w:rFonts w:cstheme="minorHAnsi"/>
                <w:noProof/>
                <w:sz w:val="20"/>
                <w:szCs w:val="20"/>
                <w:lang w:eastAsia="en-GB"/>
              </w:rPr>
              <w:t>3 free books per academic year.</w:t>
            </w:r>
          </w:p>
          <w:p w14:paraId="77C3D92E" w14:textId="77777777" w:rsidR="00117777" w:rsidRDefault="00117777" w:rsidP="0011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17777">
              <w:rPr>
                <w:rFonts w:cstheme="minorHAnsi"/>
                <w:noProof/>
                <w:sz w:val="20"/>
                <w:szCs w:val="20"/>
                <w:lang w:eastAsia="en-GB"/>
              </w:rPr>
              <w:t>Free swimming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for Y5</w:t>
            </w:r>
          </w:p>
          <w:p w14:paraId="5554BD86" w14:textId="77777777" w:rsidR="00117777" w:rsidRDefault="00117777" w:rsidP="0011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Free music lessons with Rock Steady</w:t>
            </w:r>
          </w:p>
          <w:p w14:paraId="2E2C3F90" w14:textId="77777777" w:rsidR="009B0A3D" w:rsidRDefault="009B0A3D" w:rsidP="0011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Access a school uniform voucher from School Direct</w:t>
            </w:r>
          </w:p>
          <w:p w14:paraId="5D32EAED" w14:textId="313CCD19" w:rsidR="009B0A3D" w:rsidRPr="00117777" w:rsidRDefault="009B0A3D" w:rsidP="00117777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A piece of free fruit at breaktime.</w:t>
            </w:r>
          </w:p>
        </w:tc>
        <w:tc>
          <w:tcPr>
            <w:tcW w:w="3726" w:type="dxa"/>
          </w:tcPr>
          <w:p w14:paraId="28A2A092" w14:textId="093BAF90" w:rsidR="009E2DBA" w:rsidRPr="00CB2876" w:rsidRDefault="000A0D58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Equal access to non disadvantage children at Uplands Junior.</w:t>
            </w:r>
          </w:p>
        </w:tc>
        <w:tc>
          <w:tcPr>
            <w:tcW w:w="1415" w:type="dxa"/>
          </w:tcPr>
          <w:p w14:paraId="73A30FB3" w14:textId="77777777" w:rsidR="00950FF2" w:rsidRDefault="000A0D58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Data</w:t>
            </w:r>
          </w:p>
          <w:p w14:paraId="29DE2133" w14:textId="77777777" w:rsidR="000A0D58" w:rsidRDefault="000A0D58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Pupil and parent voice.</w:t>
            </w:r>
          </w:p>
          <w:p w14:paraId="12A0B931" w14:textId="3C3B703A" w:rsidR="000A0D58" w:rsidRPr="00CB2876" w:rsidRDefault="000A0D58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No child will be disadvantaged in terms of opportunities.</w:t>
            </w:r>
          </w:p>
        </w:tc>
        <w:tc>
          <w:tcPr>
            <w:tcW w:w="1586" w:type="dxa"/>
          </w:tcPr>
          <w:p w14:paraId="64355DED" w14:textId="041F2495" w:rsidR="009E2DBA" w:rsidRDefault="000A0D58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6D55D1">
              <w:rPr>
                <w:rFonts w:cstheme="minorHAnsi"/>
                <w:noProof/>
                <w:sz w:val="20"/>
                <w:szCs w:val="20"/>
                <w:lang w:eastAsia="en-GB"/>
              </w:rPr>
              <w:t>Milk –</w:t>
            </w: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</w:t>
            </w:r>
            <w:r w:rsidR="006D55D1">
              <w:rPr>
                <w:rFonts w:cstheme="minorHAnsi"/>
                <w:noProof/>
                <w:sz w:val="20"/>
                <w:szCs w:val="20"/>
                <w:lang w:eastAsia="en-GB"/>
              </w:rPr>
              <w:t>21p per pupil per day</w:t>
            </w:r>
            <w:r w:rsidR="00906A02">
              <w:rPr>
                <w:rFonts w:cstheme="minorHAnsi"/>
                <w:noProof/>
                <w:sz w:val="20"/>
                <w:szCs w:val="20"/>
                <w:lang w:eastAsia="en-GB"/>
              </w:rPr>
              <w:t>= £1872</w:t>
            </w:r>
          </w:p>
          <w:p w14:paraId="1FC3E662" w14:textId="24AFC563" w:rsidR="000A0D58" w:rsidRDefault="000A0D58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School trips approx - £50 per pupil per year Y3-Y5</w:t>
            </w:r>
            <w:r w:rsidR="00906A02">
              <w:rPr>
                <w:rFonts w:cstheme="minorHAnsi"/>
                <w:noProof/>
                <w:sz w:val="20"/>
                <w:szCs w:val="20"/>
                <w:lang w:eastAsia="en-GB"/>
              </w:rPr>
              <w:t>= £2300</w:t>
            </w:r>
          </w:p>
          <w:p w14:paraId="4BAA4C78" w14:textId="7BB29A92" w:rsidR="000A0D58" w:rsidRDefault="000A0D58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Y6 residential</w:t>
            </w:r>
            <w:r w:rsidR="00906A02">
              <w:rPr>
                <w:rFonts w:cstheme="minorHAnsi"/>
                <w:noProof/>
                <w:sz w:val="20"/>
                <w:szCs w:val="20"/>
                <w:lang w:eastAsia="en-GB"/>
              </w:rPr>
              <w:t>(2022-23)</w:t>
            </w:r>
          </w:p>
          <w:p w14:paraId="53A56BD4" w14:textId="0EC494F8" w:rsidR="000A0D58" w:rsidRDefault="000A0D58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Musical intrument tuition approx £100</w:t>
            </w:r>
            <w:r w:rsidR="00906A02">
              <w:rPr>
                <w:rFonts w:cstheme="minorHAnsi"/>
                <w:noProof/>
                <w:sz w:val="20"/>
                <w:szCs w:val="20"/>
                <w:lang w:eastAsia="en-GB"/>
              </w:rPr>
              <w:t>- £4600</w:t>
            </w:r>
          </w:p>
          <w:p w14:paraId="0E7DCC96" w14:textId="2A21DD39" w:rsidR="000A0D58" w:rsidRDefault="000A0D58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Books - £20 per child</w:t>
            </w:r>
            <w:r w:rsidR="00906A02">
              <w:rPr>
                <w:rFonts w:cstheme="minorHAnsi"/>
                <w:noProof/>
                <w:sz w:val="20"/>
                <w:szCs w:val="20"/>
                <w:lang w:eastAsia="en-GB"/>
              </w:rPr>
              <w:t>= £920</w:t>
            </w:r>
          </w:p>
          <w:p w14:paraId="5A4CD457" w14:textId="7AB0E248" w:rsidR="000A0D58" w:rsidRDefault="000A0D58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lastRenderedPageBreak/>
              <w:t>Rock Steady £7 per week per child</w:t>
            </w:r>
            <w:r w:rsidR="00906A02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-£200</w:t>
            </w:r>
          </w:p>
          <w:p w14:paraId="16DEB100" w14:textId="3D06BB21" w:rsidR="00906A02" w:rsidRDefault="00906A02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Swimming £2 per week for transport for £18 weeks for Y5 = £720</w:t>
            </w:r>
          </w:p>
          <w:p w14:paraId="19638BAE" w14:textId="77777777" w:rsidR="000A0D58" w:rsidRDefault="000A0D58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2D3A1BC0" w14:textId="11200D85" w:rsidR="000A0D58" w:rsidRDefault="009153AB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Uniform -</w:t>
            </w:r>
            <w:r w:rsidR="00906A02">
              <w:rPr>
                <w:rFonts w:cstheme="minorHAnsi"/>
                <w:noProof/>
                <w:sz w:val="20"/>
                <w:szCs w:val="20"/>
                <w:lang w:eastAsia="en-GB"/>
              </w:rPr>
              <w:t>£30 per year in vouchers = £1380</w:t>
            </w:r>
          </w:p>
          <w:p w14:paraId="2DDB6AE8" w14:textId="616CFE30" w:rsidR="009153AB" w:rsidRDefault="009153AB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Fruit </w:t>
            </w:r>
            <w:r w:rsidR="00906A02">
              <w:rPr>
                <w:rFonts w:cstheme="minorHAnsi"/>
                <w:noProof/>
                <w:sz w:val="20"/>
                <w:szCs w:val="20"/>
                <w:lang w:eastAsia="en-GB"/>
              </w:rPr>
              <w:t>£</w:t>
            </w:r>
            <w:r w:rsidR="00D304AE">
              <w:rPr>
                <w:rFonts w:cstheme="minorHAnsi"/>
                <w:noProof/>
                <w:sz w:val="20"/>
                <w:szCs w:val="20"/>
                <w:lang w:eastAsia="en-GB"/>
              </w:rPr>
              <w:t>50</w:t>
            </w:r>
            <w:r w:rsidR="00906A02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 per week total =£</w:t>
            </w:r>
            <w:r w:rsidR="00D304AE">
              <w:rPr>
                <w:rFonts w:cstheme="minorHAnsi"/>
                <w:noProof/>
                <w:sz w:val="20"/>
                <w:szCs w:val="20"/>
                <w:lang w:eastAsia="en-GB"/>
              </w:rPr>
              <w:t>1950</w:t>
            </w:r>
          </w:p>
          <w:p w14:paraId="1D384687" w14:textId="77777777" w:rsidR="00906A02" w:rsidRDefault="00906A02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</w:p>
          <w:p w14:paraId="0EA3A2D0" w14:textId="040B3108" w:rsidR="00906A02" w:rsidRPr="00CB2876" w:rsidRDefault="00906A02" w:rsidP="00EF26DC">
            <w:pPr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>
              <w:rPr>
                <w:rFonts w:cstheme="minorHAnsi"/>
                <w:noProof/>
                <w:sz w:val="20"/>
                <w:szCs w:val="20"/>
                <w:lang w:eastAsia="en-GB"/>
              </w:rPr>
              <w:t>Total</w:t>
            </w:r>
            <w:r w:rsidR="00D304AE">
              <w:rPr>
                <w:rFonts w:cstheme="minorHAnsi"/>
                <w:noProof/>
                <w:sz w:val="20"/>
                <w:szCs w:val="20"/>
                <w:lang w:eastAsia="en-GB"/>
              </w:rPr>
              <w:t>= £19,813</w:t>
            </w:r>
          </w:p>
        </w:tc>
      </w:tr>
      <w:tr w:rsidR="009153AB" w:rsidRPr="00CB2876" w14:paraId="2DE349A6" w14:textId="77777777" w:rsidTr="00046276">
        <w:trPr>
          <w:trHeight w:val="783"/>
        </w:trPr>
        <w:tc>
          <w:tcPr>
            <w:tcW w:w="943" w:type="dxa"/>
            <w:tcMar>
              <w:top w:w="57" w:type="dxa"/>
              <w:bottom w:w="57" w:type="dxa"/>
            </w:tcMar>
          </w:tcPr>
          <w:p w14:paraId="28E75DE6" w14:textId="39A92E13" w:rsidR="009E2DBA" w:rsidRPr="00CB2876" w:rsidRDefault="009153AB" w:rsidP="000149F5">
            <w:pPr>
              <w:tabs>
                <w:tab w:val="left" w:pos="142"/>
              </w:tabs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All year groups</w:t>
            </w:r>
          </w:p>
        </w:tc>
        <w:tc>
          <w:tcPr>
            <w:tcW w:w="1462" w:type="dxa"/>
            <w:tcMar>
              <w:top w:w="57" w:type="dxa"/>
              <w:bottom w:w="57" w:type="dxa"/>
            </w:tcMar>
          </w:tcPr>
          <w:p w14:paraId="51AC05F9" w14:textId="31E0BEEB" w:rsidR="009E2DBA" w:rsidRPr="00CB2876" w:rsidRDefault="009153AB" w:rsidP="000149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ensure that PPG children make progress and achieve across the curriculum.</w:t>
            </w:r>
          </w:p>
        </w:tc>
        <w:tc>
          <w:tcPr>
            <w:tcW w:w="1463" w:type="dxa"/>
          </w:tcPr>
          <w:p w14:paraId="4D22982E" w14:textId="11E3E6CD" w:rsidR="009E2DBA" w:rsidRPr="00CB2876" w:rsidRDefault="009153AB" w:rsidP="000149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child is disadvantaged.</w:t>
            </w:r>
          </w:p>
        </w:tc>
        <w:tc>
          <w:tcPr>
            <w:tcW w:w="3500" w:type="dxa"/>
          </w:tcPr>
          <w:p w14:paraId="67D0E1CA" w14:textId="58FDD82B" w:rsidR="00F63B8C" w:rsidRPr="00CB2876" w:rsidRDefault="009153AB" w:rsidP="00F63B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Support from Teaching Assistants.</w:t>
            </w:r>
          </w:p>
        </w:tc>
        <w:tc>
          <w:tcPr>
            <w:tcW w:w="3726" w:type="dxa"/>
          </w:tcPr>
          <w:p w14:paraId="5372FDCA" w14:textId="37F550FA" w:rsidR="009E2DBA" w:rsidRPr="00CB2876" w:rsidRDefault="009153AB" w:rsidP="009F64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EEF</w:t>
            </w:r>
          </w:p>
        </w:tc>
        <w:tc>
          <w:tcPr>
            <w:tcW w:w="1415" w:type="dxa"/>
          </w:tcPr>
          <w:p w14:paraId="60F93CAE" w14:textId="77777777" w:rsidR="00950FF2" w:rsidRDefault="009153AB" w:rsidP="009F64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</w:t>
            </w:r>
          </w:p>
          <w:p w14:paraId="416531C0" w14:textId="36860476" w:rsidR="009153AB" w:rsidRPr="00CB2876" w:rsidRDefault="009153AB" w:rsidP="009F646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Pupil voice, </w:t>
            </w:r>
            <w:proofErr w:type="gramStart"/>
            <w:r>
              <w:rPr>
                <w:rFonts w:cstheme="minorHAnsi"/>
                <w:sz w:val="20"/>
                <w:szCs w:val="20"/>
              </w:rPr>
              <w:t>participation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engagement. </w:t>
            </w:r>
          </w:p>
        </w:tc>
        <w:tc>
          <w:tcPr>
            <w:tcW w:w="1586" w:type="dxa"/>
          </w:tcPr>
          <w:p w14:paraId="34E0C49B" w14:textId="776DAD81" w:rsidR="00CB2876" w:rsidRPr="00CB2876" w:rsidRDefault="00D304AE" w:rsidP="000149F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£79, 106</w:t>
            </w:r>
          </w:p>
        </w:tc>
      </w:tr>
    </w:tbl>
    <w:p w14:paraId="4B29EF20" w14:textId="396B9FA0" w:rsidR="00193B88" w:rsidRDefault="00193B88">
      <w:pPr>
        <w:rPr>
          <w:rFonts w:cstheme="minorHAnsi"/>
          <w:sz w:val="20"/>
          <w:szCs w:val="20"/>
        </w:rPr>
      </w:pPr>
    </w:p>
    <w:p w14:paraId="22C775C5" w14:textId="77777777" w:rsidR="00193B88" w:rsidRPr="00CB2876" w:rsidRDefault="00193B88">
      <w:pPr>
        <w:rPr>
          <w:rFonts w:cstheme="minorHAnsi"/>
          <w:sz w:val="20"/>
          <w:szCs w:val="20"/>
        </w:rPr>
      </w:pPr>
    </w:p>
    <w:tbl>
      <w:tblPr>
        <w:tblStyle w:val="TableGrid"/>
        <w:tblW w:w="14394" w:type="dxa"/>
        <w:tblInd w:w="-113" w:type="dxa"/>
        <w:tblLook w:val="04A0" w:firstRow="1" w:lastRow="0" w:firstColumn="1" w:lastColumn="0" w:noHBand="0" w:noVBand="1"/>
      </w:tblPr>
      <w:tblGrid>
        <w:gridCol w:w="2475"/>
        <w:gridCol w:w="2379"/>
        <w:gridCol w:w="5730"/>
        <w:gridCol w:w="1905"/>
        <w:gridCol w:w="1905"/>
      </w:tblGrid>
      <w:tr w:rsidR="00CF6E95" w:rsidRPr="00193B88" w14:paraId="7EC57702" w14:textId="77777777" w:rsidTr="00D52D2F">
        <w:trPr>
          <w:trHeight w:val="559"/>
        </w:trPr>
        <w:tc>
          <w:tcPr>
            <w:tcW w:w="247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8FDC38F" w14:textId="77777777" w:rsidR="00CF6E95" w:rsidRPr="00193B88" w:rsidRDefault="00CF6E95" w:rsidP="00CF6E95">
            <w:pPr>
              <w:rPr>
                <w:rFonts w:cstheme="minorHAnsi"/>
                <w:b/>
                <w:szCs w:val="20"/>
              </w:rPr>
            </w:pPr>
            <w:r w:rsidRPr="00193B88">
              <w:rPr>
                <w:rFonts w:cstheme="minorHAnsi"/>
                <w:b/>
                <w:szCs w:val="20"/>
              </w:rPr>
              <w:t>Whole School Initiatives</w:t>
            </w:r>
            <w:r w:rsidR="00DF0BAF" w:rsidRPr="00193B88">
              <w:rPr>
                <w:rFonts w:cstheme="minorHAnsi"/>
                <w:b/>
                <w:szCs w:val="20"/>
              </w:rPr>
              <w:t>/the wider curriculum</w:t>
            </w:r>
          </w:p>
          <w:p w14:paraId="1A44193F" w14:textId="77777777" w:rsidR="00CF6E95" w:rsidRPr="00193B88" w:rsidRDefault="00CF6E95" w:rsidP="00CF6E95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379" w:type="dxa"/>
            <w:shd w:val="clear" w:color="auto" w:fill="D9D9D9" w:themeFill="background1" w:themeFillShade="D9"/>
          </w:tcPr>
          <w:p w14:paraId="418946A0" w14:textId="77777777" w:rsidR="00CF6E95" w:rsidRPr="00193B88" w:rsidRDefault="00CF6E95" w:rsidP="00CF6E95">
            <w:pPr>
              <w:rPr>
                <w:rFonts w:cstheme="minorHAnsi"/>
                <w:b/>
                <w:szCs w:val="20"/>
              </w:rPr>
            </w:pPr>
            <w:r w:rsidRPr="00193B88">
              <w:rPr>
                <w:rFonts w:cstheme="minorHAnsi"/>
                <w:b/>
                <w:szCs w:val="20"/>
              </w:rPr>
              <w:t>How</w:t>
            </w:r>
            <w:r w:rsidR="00E91FCA" w:rsidRPr="00193B88">
              <w:rPr>
                <w:rFonts w:cstheme="minorHAnsi"/>
                <w:b/>
                <w:szCs w:val="20"/>
              </w:rPr>
              <w:t>?</w:t>
            </w:r>
          </w:p>
        </w:tc>
        <w:tc>
          <w:tcPr>
            <w:tcW w:w="5730" w:type="dxa"/>
            <w:shd w:val="clear" w:color="auto" w:fill="D9D9D9" w:themeFill="background1" w:themeFillShade="D9"/>
          </w:tcPr>
          <w:p w14:paraId="4A673F91" w14:textId="77777777" w:rsidR="00CF6E95" w:rsidRPr="00193B88" w:rsidRDefault="00CF6E95" w:rsidP="00CF6E95">
            <w:pPr>
              <w:rPr>
                <w:rFonts w:cstheme="minorHAnsi"/>
                <w:b/>
                <w:szCs w:val="20"/>
              </w:rPr>
            </w:pPr>
            <w:r w:rsidRPr="00193B88">
              <w:rPr>
                <w:rFonts w:cstheme="minorHAnsi"/>
                <w:b/>
                <w:szCs w:val="20"/>
              </w:rPr>
              <w:t>What is the rationale for this chosen strategy</w:t>
            </w:r>
            <w:r w:rsidR="00E91FCA" w:rsidRPr="00193B88">
              <w:rPr>
                <w:rFonts w:cstheme="minorHAnsi"/>
                <w:b/>
                <w:szCs w:val="20"/>
              </w:rPr>
              <w:t>?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75FE768A" w14:textId="77777777" w:rsidR="00CF6E95" w:rsidRPr="00193B88" w:rsidRDefault="00CF6E95" w:rsidP="00CF6E95">
            <w:pPr>
              <w:rPr>
                <w:rFonts w:cstheme="minorHAnsi"/>
                <w:b/>
                <w:szCs w:val="20"/>
              </w:rPr>
            </w:pPr>
            <w:r w:rsidRPr="00193B88">
              <w:rPr>
                <w:rFonts w:cstheme="minorHAnsi"/>
                <w:b/>
                <w:szCs w:val="20"/>
              </w:rPr>
              <w:t>How will it be monitored</w:t>
            </w:r>
            <w:r w:rsidR="00E91FCA" w:rsidRPr="00193B88">
              <w:rPr>
                <w:rFonts w:cstheme="minorHAnsi"/>
                <w:b/>
                <w:szCs w:val="20"/>
              </w:rPr>
              <w:t>?</w:t>
            </w:r>
          </w:p>
        </w:tc>
        <w:tc>
          <w:tcPr>
            <w:tcW w:w="1905" w:type="dxa"/>
            <w:shd w:val="clear" w:color="auto" w:fill="D9D9D9" w:themeFill="background1" w:themeFillShade="D9"/>
          </w:tcPr>
          <w:p w14:paraId="3E16764F" w14:textId="77777777" w:rsidR="00CF6E95" w:rsidRPr="00193B88" w:rsidRDefault="00CF6E95" w:rsidP="00CF6E95">
            <w:pPr>
              <w:rPr>
                <w:rFonts w:cstheme="minorHAnsi"/>
                <w:b/>
                <w:szCs w:val="20"/>
              </w:rPr>
            </w:pPr>
            <w:r w:rsidRPr="00193B88">
              <w:rPr>
                <w:rFonts w:cstheme="minorHAnsi"/>
                <w:b/>
                <w:szCs w:val="20"/>
              </w:rPr>
              <w:t>Cost</w:t>
            </w:r>
            <w:r w:rsidR="00E91FCA" w:rsidRPr="00193B88">
              <w:rPr>
                <w:rFonts w:cstheme="minorHAnsi"/>
                <w:b/>
                <w:szCs w:val="20"/>
              </w:rPr>
              <w:t>?</w:t>
            </w:r>
          </w:p>
        </w:tc>
      </w:tr>
      <w:tr w:rsidR="00CF6E95" w:rsidRPr="00CB2876" w14:paraId="79383A10" w14:textId="77777777" w:rsidTr="00D52D2F">
        <w:trPr>
          <w:trHeight w:val="844"/>
        </w:trPr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</w:tcPr>
          <w:p w14:paraId="78737E69" w14:textId="77777777" w:rsidR="00CF6E95" w:rsidRPr="00CB2876" w:rsidRDefault="00CF6E95" w:rsidP="00B25958">
            <w:pPr>
              <w:rPr>
                <w:rFonts w:cstheme="minorHAnsi"/>
                <w:sz w:val="20"/>
                <w:szCs w:val="20"/>
              </w:rPr>
            </w:pPr>
            <w:r w:rsidRPr="00CB2876">
              <w:rPr>
                <w:rFonts w:cstheme="minorHAnsi"/>
                <w:sz w:val="20"/>
                <w:szCs w:val="20"/>
              </w:rPr>
              <w:lastRenderedPageBreak/>
              <w:t>Accelerated Reader</w:t>
            </w:r>
          </w:p>
        </w:tc>
        <w:tc>
          <w:tcPr>
            <w:tcW w:w="2379" w:type="dxa"/>
            <w:shd w:val="clear" w:color="auto" w:fill="auto"/>
          </w:tcPr>
          <w:p w14:paraId="01C57790" w14:textId="77777777" w:rsidR="00CF6E95" w:rsidRPr="00CB2876" w:rsidRDefault="00CF6E95" w:rsidP="00BF23B7">
            <w:pPr>
              <w:rPr>
                <w:rFonts w:cstheme="minorHAnsi"/>
                <w:sz w:val="20"/>
                <w:szCs w:val="20"/>
              </w:rPr>
            </w:pPr>
            <w:r w:rsidRPr="00CB2876">
              <w:rPr>
                <w:rFonts w:cstheme="minorHAnsi"/>
                <w:sz w:val="20"/>
                <w:szCs w:val="20"/>
              </w:rPr>
              <w:t>On-line tool to monitor and encourage pupils to read more books.</w:t>
            </w:r>
          </w:p>
        </w:tc>
        <w:tc>
          <w:tcPr>
            <w:tcW w:w="5730" w:type="dxa"/>
            <w:shd w:val="clear" w:color="auto" w:fill="auto"/>
          </w:tcPr>
          <w:p w14:paraId="0F8874B4" w14:textId="77777777" w:rsidR="00CF6E95" w:rsidRPr="00CB2876" w:rsidRDefault="00CF6E95" w:rsidP="00BF23B7">
            <w:pPr>
              <w:rPr>
                <w:rFonts w:cstheme="minorHAnsi"/>
                <w:sz w:val="20"/>
                <w:szCs w:val="20"/>
              </w:rPr>
            </w:pPr>
            <w:r w:rsidRPr="00CB2876">
              <w:rPr>
                <w:rFonts w:cstheme="minorHAnsi"/>
                <w:sz w:val="20"/>
                <w:szCs w:val="20"/>
              </w:rPr>
              <w:t>Research for the EEF shows that this initiative raises attainment by +5 months for eligible pupils and +3 months for all pupils.</w:t>
            </w:r>
          </w:p>
        </w:tc>
        <w:tc>
          <w:tcPr>
            <w:tcW w:w="1905" w:type="dxa"/>
          </w:tcPr>
          <w:p w14:paraId="00F1E960" w14:textId="77777777" w:rsidR="00CF6E95" w:rsidRPr="00CB2876" w:rsidRDefault="00C30CAE" w:rsidP="00B25958">
            <w:pPr>
              <w:rPr>
                <w:rFonts w:cstheme="minorHAnsi"/>
                <w:sz w:val="20"/>
                <w:szCs w:val="20"/>
              </w:rPr>
            </w:pPr>
            <w:r w:rsidRPr="00CB2876">
              <w:rPr>
                <w:rFonts w:cstheme="minorHAnsi"/>
                <w:sz w:val="20"/>
                <w:szCs w:val="20"/>
              </w:rPr>
              <w:t>Reading</w:t>
            </w:r>
            <w:r w:rsidR="00CF6E95" w:rsidRPr="00CB2876">
              <w:rPr>
                <w:rFonts w:cstheme="minorHAnsi"/>
                <w:sz w:val="20"/>
                <w:szCs w:val="20"/>
              </w:rPr>
              <w:t xml:space="preserve"> Leader to monitor reading statistics from on-line information. Report to SLT.</w:t>
            </w:r>
          </w:p>
        </w:tc>
        <w:tc>
          <w:tcPr>
            <w:tcW w:w="1905" w:type="dxa"/>
            <w:shd w:val="clear" w:color="auto" w:fill="auto"/>
          </w:tcPr>
          <w:p w14:paraId="5B92B308" w14:textId="77777777" w:rsidR="00CF6E95" w:rsidRPr="00CB2876" w:rsidRDefault="00CF6E95" w:rsidP="00B25958">
            <w:pPr>
              <w:rPr>
                <w:rFonts w:cstheme="minorHAnsi"/>
                <w:sz w:val="20"/>
                <w:szCs w:val="20"/>
              </w:rPr>
            </w:pPr>
            <w:r w:rsidRPr="00CB2876">
              <w:rPr>
                <w:rFonts w:cstheme="minorHAnsi"/>
                <w:sz w:val="20"/>
                <w:szCs w:val="20"/>
              </w:rPr>
              <w:t xml:space="preserve">Proportionate </w:t>
            </w:r>
            <w:proofErr w:type="gramStart"/>
            <w:r w:rsidRPr="00CB2876">
              <w:rPr>
                <w:rFonts w:cstheme="minorHAnsi"/>
                <w:sz w:val="20"/>
                <w:szCs w:val="20"/>
              </w:rPr>
              <w:t>cost plus</w:t>
            </w:r>
            <w:proofErr w:type="gramEnd"/>
            <w:r w:rsidRPr="00CB2876">
              <w:rPr>
                <w:rFonts w:cstheme="minorHAnsi"/>
                <w:sz w:val="20"/>
                <w:szCs w:val="20"/>
              </w:rPr>
              <w:t xml:space="preserve"> leadership time cost</w:t>
            </w:r>
          </w:p>
          <w:p w14:paraId="25EB2BBA" w14:textId="77777777" w:rsidR="00E4463A" w:rsidRPr="00CB2876" w:rsidRDefault="00E4463A" w:rsidP="00B25958">
            <w:pPr>
              <w:rPr>
                <w:rFonts w:cstheme="minorHAnsi"/>
                <w:sz w:val="20"/>
                <w:szCs w:val="20"/>
              </w:rPr>
            </w:pPr>
          </w:p>
          <w:p w14:paraId="49F93A23" w14:textId="77777777" w:rsidR="00E4463A" w:rsidRPr="00CB2876" w:rsidRDefault="00E4463A" w:rsidP="00E4463A">
            <w:pPr>
              <w:rPr>
                <w:rFonts w:cstheme="minorHAnsi"/>
                <w:sz w:val="20"/>
                <w:szCs w:val="20"/>
              </w:rPr>
            </w:pPr>
            <w:r w:rsidRPr="00CB2876">
              <w:rPr>
                <w:rFonts w:cstheme="minorHAnsi"/>
                <w:sz w:val="20"/>
                <w:szCs w:val="20"/>
              </w:rPr>
              <w:t>£13,785.5</w:t>
            </w:r>
          </w:p>
        </w:tc>
      </w:tr>
      <w:tr w:rsidR="00D52D2F" w:rsidRPr="00CB2876" w14:paraId="6EABEB86" w14:textId="77777777" w:rsidTr="00EF26DC">
        <w:trPr>
          <w:trHeight w:val="285"/>
        </w:trPr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</w:tcPr>
          <w:p w14:paraId="0E19F94C" w14:textId="0D23F49C" w:rsidR="00D52D2F" w:rsidRPr="00950FF2" w:rsidRDefault="00D52D2F" w:rsidP="00EF26DC">
            <w:pPr>
              <w:spacing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>Provide pastoral care for pupils</w:t>
            </w:r>
            <w:r w:rsidR="002065B7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379" w:type="dxa"/>
            <w:shd w:val="clear" w:color="auto" w:fill="auto"/>
            <w:vAlign w:val="center"/>
          </w:tcPr>
          <w:p w14:paraId="4DA88B7D" w14:textId="77777777" w:rsidR="00D52D2F" w:rsidRDefault="00D52D2F" w:rsidP="00EF26DC">
            <w:pPr>
              <w:spacing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>Daily meet and greet for parents and carers. Home visits as required.</w:t>
            </w:r>
          </w:p>
          <w:p w14:paraId="157D86D8" w14:textId="56DB7F3E" w:rsidR="002065B7" w:rsidRPr="00950FF2" w:rsidRDefault="002065B7" w:rsidP="00EF26DC">
            <w:pPr>
              <w:spacing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Pastoral support within the school day</w:t>
            </w:r>
          </w:p>
        </w:tc>
        <w:tc>
          <w:tcPr>
            <w:tcW w:w="5730" w:type="dxa"/>
            <w:shd w:val="clear" w:color="auto" w:fill="auto"/>
          </w:tcPr>
          <w:p w14:paraId="0BAAC2B8" w14:textId="77777777" w:rsidR="00D52D2F" w:rsidRPr="00950FF2" w:rsidRDefault="00D52D2F" w:rsidP="00EF26DC">
            <w:pPr>
              <w:spacing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0FF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+4</w:t>
            </w:r>
          </w:p>
          <w:p w14:paraId="30FCD3CD" w14:textId="77777777" w:rsidR="00D52D2F" w:rsidRPr="00950FF2" w:rsidRDefault="00D52D2F" w:rsidP="00EF26DC">
            <w:pPr>
              <w:spacing w:before="107"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>SEL interventions on average provide four months’ progress. The pastoral manager will provide a range of support including art therapy, liaising with parents and carers over SEL issues.</w:t>
            </w:r>
          </w:p>
        </w:tc>
        <w:tc>
          <w:tcPr>
            <w:tcW w:w="1905" w:type="dxa"/>
          </w:tcPr>
          <w:p w14:paraId="6E5639D5" w14:textId="77777777" w:rsidR="00D52D2F" w:rsidRPr="00950FF2" w:rsidRDefault="00D52D2F" w:rsidP="00EF26D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  <w:p w14:paraId="7CF5A2D3" w14:textId="77777777" w:rsidR="00D52D2F" w:rsidRPr="00950FF2" w:rsidRDefault="00D52D2F" w:rsidP="00EF26DC">
            <w:pPr>
              <w:spacing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>Attendance of vulnerable pupils in receipt of pupil premium</w:t>
            </w:r>
          </w:p>
        </w:tc>
        <w:tc>
          <w:tcPr>
            <w:tcW w:w="1905" w:type="dxa"/>
            <w:shd w:val="clear" w:color="auto" w:fill="auto"/>
          </w:tcPr>
          <w:p w14:paraId="767481FE" w14:textId="77777777" w:rsidR="00D52D2F" w:rsidRPr="00950FF2" w:rsidRDefault="00D52D2F" w:rsidP="00EF26D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>£15,815.50</w:t>
            </w:r>
          </w:p>
        </w:tc>
      </w:tr>
      <w:tr w:rsidR="00D52D2F" w:rsidRPr="00CB2876" w14:paraId="2AECB9F4" w14:textId="77777777" w:rsidTr="00EF26DC">
        <w:trPr>
          <w:trHeight w:val="285"/>
        </w:trPr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</w:tcPr>
          <w:p w14:paraId="28038A25" w14:textId="77777777" w:rsidR="00D52D2F" w:rsidRPr="00950FF2" w:rsidRDefault="00193B88" w:rsidP="00EF26DC">
            <w:pPr>
              <w:spacing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Provide EAL support Flash Academy </w:t>
            </w:r>
          </w:p>
        </w:tc>
        <w:tc>
          <w:tcPr>
            <w:tcW w:w="2379" w:type="dxa"/>
            <w:shd w:val="clear" w:color="auto" w:fill="auto"/>
          </w:tcPr>
          <w:p w14:paraId="2AD7852F" w14:textId="77777777" w:rsidR="00D52D2F" w:rsidRPr="00950FF2" w:rsidRDefault="00D52D2F" w:rsidP="00EF26DC">
            <w:pPr>
              <w:spacing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>Daily intervention with HLTA</w:t>
            </w:r>
          </w:p>
        </w:tc>
        <w:tc>
          <w:tcPr>
            <w:tcW w:w="5730" w:type="dxa"/>
            <w:shd w:val="clear" w:color="auto" w:fill="auto"/>
          </w:tcPr>
          <w:p w14:paraId="291D2A73" w14:textId="77777777" w:rsidR="00D52D2F" w:rsidRPr="00950FF2" w:rsidRDefault="00D52D2F" w:rsidP="00EF26DC">
            <w:pPr>
              <w:spacing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0FF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+4</w:t>
            </w:r>
          </w:p>
          <w:p w14:paraId="5EF25777" w14:textId="77777777" w:rsidR="00D52D2F" w:rsidRPr="00950FF2" w:rsidRDefault="00D52D2F" w:rsidP="00EF26DC">
            <w:pPr>
              <w:spacing w:before="107"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Research shows that digital technology increases progress by an average of four months +4. This progress measure will also impact on </w:t>
            </w:r>
            <w:proofErr w:type="gramStart"/>
            <w:r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>classroom based</w:t>
            </w:r>
            <w:proofErr w:type="gramEnd"/>
            <w:r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outcomes as children will be able to access the wider curriculum.</w:t>
            </w:r>
          </w:p>
        </w:tc>
        <w:tc>
          <w:tcPr>
            <w:tcW w:w="1905" w:type="dxa"/>
          </w:tcPr>
          <w:p w14:paraId="12125A55" w14:textId="77777777" w:rsidR="00D52D2F" w:rsidRPr="00950FF2" w:rsidRDefault="00D52D2F" w:rsidP="00EF26DC">
            <w:pPr>
              <w:spacing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Data collected by </w:t>
            </w:r>
            <w:r w:rsidR="00950FF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EAL lead </w:t>
            </w:r>
          </w:p>
          <w:p w14:paraId="65202A25" w14:textId="77777777" w:rsidR="00D52D2F" w:rsidRPr="00950FF2" w:rsidRDefault="00D52D2F" w:rsidP="00EF26DC">
            <w:pPr>
              <w:spacing w:before="107"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05" w:type="dxa"/>
            <w:shd w:val="clear" w:color="auto" w:fill="auto"/>
          </w:tcPr>
          <w:p w14:paraId="1DFDC148" w14:textId="77777777" w:rsidR="00D52D2F" w:rsidRPr="00950FF2" w:rsidRDefault="006C4923" w:rsidP="00EF26DC">
            <w:pPr>
              <w:spacing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>£</w:t>
            </w:r>
            <w:proofErr w:type="gramStart"/>
            <w:r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1400 </w:t>
            </w:r>
            <w:r w:rsidR="00D52D2F"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–</w:t>
            </w:r>
            <w:proofErr w:type="gramEnd"/>
            <w:r w:rsidR="00D52D2F"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support from HLTA</w:t>
            </w:r>
          </w:p>
        </w:tc>
      </w:tr>
      <w:tr w:rsidR="00E91754" w:rsidRPr="00CB2876" w14:paraId="5F2A0E81" w14:textId="77777777" w:rsidTr="00EF26DC">
        <w:trPr>
          <w:trHeight w:val="285"/>
        </w:trPr>
        <w:tc>
          <w:tcPr>
            <w:tcW w:w="2475" w:type="dxa"/>
            <w:shd w:val="clear" w:color="auto" w:fill="auto"/>
            <w:tcMar>
              <w:top w:w="57" w:type="dxa"/>
              <w:bottom w:w="57" w:type="dxa"/>
            </w:tcMar>
          </w:tcPr>
          <w:p w14:paraId="463707B1" w14:textId="0D76354B" w:rsidR="00E91754" w:rsidRPr="00950FF2" w:rsidRDefault="00E91754" w:rsidP="00EF26D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0FF2">
              <w:rPr>
                <w:rFonts w:cstheme="minorHAnsi"/>
                <w:sz w:val="20"/>
                <w:szCs w:val="20"/>
              </w:rPr>
              <w:t xml:space="preserve">Wider curriculum support </w:t>
            </w:r>
          </w:p>
        </w:tc>
        <w:tc>
          <w:tcPr>
            <w:tcW w:w="2379" w:type="dxa"/>
            <w:shd w:val="clear" w:color="auto" w:fill="auto"/>
          </w:tcPr>
          <w:p w14:paraId="482ED88F" w14:textId="77777777" w:rsidR="00E91754" w:rsidRPr="00950FF2" w:rsidRDefault="00E91754" w:rsidP="00EF26DC">
            <w:pPr>
              <w:spacing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Pupils will be selected to participate in additional opportunities, such as rock steady, boxing, skipping. </w:t>
            </w:r>
          </w:p>
        </w:tc>
        <w:tc>
          <w:tcPr>
            <w:tcW w:w="5730" w:type="dxa"/>
            <w:shd w:val="clear" w:color="auto" w:fill="auto"/>
          </w:tcPr>
          <w:p w14:paraId="4836B5D3" w14:textId="77777777" w:rsidR="00E91754" w:rsidRPr="00950FF2" w:rsidRDefault="00E91754" w:rsidP="00E91754">
            <w:pPr>
              <w:spacing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0FF2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en-GB"/>
              </w:rPr>
              <w:t>+2</w:t>
            </w:r>
          </w:p>
          <w:p w14:paraId="75EA2B41" w14:textId="000256BD" w:rsidR="00E91754" w:rsidRPr="00950FF2" w:rsidRDefault="00E91754" w:rsidP="00E91754">
            <w:pPr>
              <w:spacing w:before="107"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>Extended arts or sports participation impacts positively on academic achievement but impact is low. Pupils have limited opportunities to engage in extra-curricular activities due to commitments to attending madra</w:t>
            </w:r>
            <w:r w:rsidR="00112038"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  <w:r w:rsidRPr="00950FF2">
              <w:rPr>
                <w:rFonts w:eastAsia="Times New Roman" w:cstheme="minorHAnsi"/>
                <w:sz w:val="20"/>
                <w:szCs w:val="20"/>
                <w:lang w:eastAsia="en-GB"/>
              </w:rPr>
              <w:t>sa after school.</w:t>
            </w:r>
          </w:p>
          <w:p w14:paraId="338A4105" w14:textId="77777777" w:rsidR="00E4463A" w:rsidRPr="00950FF2" w:rsidRDefault="00E4463A" w:rsidP="00E91754">
            <w:pPr>
              <w:spacing w:before="107"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  <w:p w14:paraId="59ED1F94" w14:textId="77777777" w:rsidR="00E91754" w:rsidRPr="00950FF2" w:rsidRDefault="00E91754" w:rsidP="00CB287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14:paraId="78E14488" w14:textId="44107BC8" w:rsidR="00E91754" w:rsidRPr="00950FF2" w:rsidRDefault="00112038" w:rsidP="00EF26DC">
            <w:pPr>
              <w:spacing w:after="107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PE </w:t>
            </w:r>
            <w:proofErr w:type="gram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lead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will </w:t>
            </w:r>
            <w:r w:rsidR="00276D79">
              <w:rPr>
                <w:rFonts w:eastAsia="Times New Roman" w:cstheme="minorHAnsi"/>
                <w:sz w:val="20"/>
                <w:szCs w:val="20"/>
                <w:lang w:eastAsia="en-GB"/>
              </w:rPr>
              <w:t>include PPG and recognise talent and signpost to clubs.</w:t>
            </w:r>
          </w:p>
        </w:tc>
        <w:tc>
          <w:tcPr>
            <w:tcW w:w="1905" w:type="dxa"/>
            <w:shd w:val="clear" w:color="auto" w:fill="auto"/>
          </w:tcPr>
          <w:p w14:paraId="750F1874" w14:textId="6B3C3677" w:rsidR="00E91754" w:rsidRPr="00950FF2" w:rsidRDefault="00E91754" w:rsidP="00EF26DC">
            <w:pPr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D52D2F" w:rsidRPr="00CB2876" w14:paraId="7A05647E" w14:textId="77777777" w:rsidTr="00D52D2F">
        <w:trPr>
          <w:trHeight w:val="273"/>
        </w:trPr>
        <w:tc>
          <w:tcPr>
            <w:tcW w:w="4854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B7B4826" w14:textId="77777777" w:rsidR="00D52D2F" w:rsidRPr="00CB2876" w:rsidRDefault="00D52D2F" w:rsidP="00BF23B7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</w:tcPr>
          <w:p w14:paraId="738BB91C" w14:textId="77777777" w:rsidR="00D52D2F" w:rsidRPr="00CB2876" w:rsidRDefault="00D52D2F" w:rsidP="00BF23B7">
            <w:pPr>
              <w:rPr>
                <w:rFonts w:cstheme="minorHAnsi"/>
                <w:b/>
                <w:sz w:val="20"/>
                <w:szCs w:val="20"/>
              </w:rPr>
            </w:pPr>
            <w:r w:rsidRPr="00CB2876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905" w:type="dxa"/>
          </w:tcPr>
          <w:p w14:paraId="5249692C" w14:textId="77777777" w:rsidR="00D52D2F" w:rsidRPr="00CB2876" w:rsidRDefault="00D52D2F" w:rsidP="00B259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  <w:shd w:val="clear" w:color="auto" w:fill="auto"/>
          </w:tcPr>
          <w:p w14:paraId="65549C84" w14:textId="77777777" w:rsidR="00D52D2F" w:rsidRPr="00CB2876" w:rsidRDefault="00193B88" w:rsidP="00B259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</w:rPr>
              <w:t>£137, 190</w:t>
            </w:r>
          </w:p>
        </w:tc>
      </w:tr>
    </w:tbl>
    <w:p w14:paraId="3BED2F3C" w14:textId="77777777" w:rsidR="000149F5" w:rsidRPr="00CB2876" w:rsidRDefault="000149F5">
      <w:pPr>
        <w:rPr>
          <w:rFonts w:cstheme="minorHAnsi"/>
          <w:sz w:val="20"/>
          <w:szCs w:val="20"/>
        </w:rPr>
      </w:pPr>
    </w:p>
    <w:p w14:paraId="1539D536" w14:textId="77777777" w:rsidR="00B25958" w:rsidRPr="00CB2876" w:rsidRDefault="00B25958">
      <w:pPr>
        <w:rPr>
          <w:rFonts w:cstheme="minorHAnsi"/>
          <w:sz w:val="20"/>
          <w:szCs w:val="20"/>
        </w:rPr>
      </w:pPr>
    </w:p>
    <w:p w14:paraId="66B525DF" w14:textId="77777777" w:rsidR="00A6291A" w:rsidRPr="00CB2876" w:rsidRDefault="00A6291A">
      <w:pPr>
        <w:rPr>
          <w:rFonts w:cstheme="minorHAnsi"/>
          <w:sz w:val="20"/>
          <w:szCs w:val="20"/>
        </w:rPr>
      </w:pPr>
    </w:p>
    <w:p w14:paraId="4E7AD120" w14:textId="77777777" w:rsidR="00A6291A" w:rsidRPr="00CB2876" w:rsidRDefault="00A6291A">
      <w:pPr>
        <w:rPr>
          <w:rFonts w:cstheme="minorHAnsi"/>
          <w:sz w:val="20"/>
          <w:szCs w:val="20"/>
        </w:rPr>
      </w:pPr>
    </w:p>
    <w:p w14:paraId="58B58ECB" w14:textId="77777777" w:rsidR="00A6291A" w:rsidRPr="00CB2876" w:rsidRDefault="00A6291A">
      <w:pPr>
        <w:rPr>
          <w:rFonts w:cstheme="minorHAnsi"/>
          <w:sz w:val="20"/>
          <w:szCs w:val="20"/>
        </w:rPr>
      </w:pPr>
    </w:p>
    <w:p w14:paraId="4833D73D" w14:textId="77777777" w:rsidR="00A6291A" w:rsidRPr="00CB2876" w:rsidRDefault="00A6291A">
      <w:pPr>
        <w:rPr>
          <w:rFonts w:cstheme="minorHAnsi"/>
          <w:sz w:val="20"/>
          <w:szCs w:val="20"/>
        </w:rPr>
      </w:pPr>
      <w:r w:rsidRPr="00CB2876">
        <w:rPr>
          <w:rFonts w:cstheme="minorHAnsi"/>
          <w:sz w:val="20"/>
          <w:szCs w:val="20"/>
        </w:rPr>
        <w:t xml:space="preserve">Date: </w:t>
      </w:r>
      <w:r w:rsidR="00193B88">
        <w:rPr>
          <w:rFonts w:cstheme="minorHAnsi"/>
          <w:sz w:val="20"/>
          <w:szCs w:val="20"/>
        </w:rPr>
        <w:t>13.10.21</w:t>
      </w:r>
    </w:p>
    <w:p w14:paraId="07D522AB" w14:textId="4566BBA4" w:rsidR="00786661" w:rsidRDefault="00A6291A">
      <w:pPr>
        <w:rPr>
          <w:rFonts w:cstheme="minorHAnsi"/>
          <w:sz w:val="20"/>
          <w:szCs w:val="20"/>
        </w:rPr>
      </w:pPr>
      <w:r w:rsidRPr="00CB2876">
        <w:rPr>
          <w:rFonts w:cstheme="minorHAnsi"/>
          <w:sz w:val="20"/>
          <w:szCs w:val="20"/>
        </w:rPr>
        <w:t>Pupil Premium Leader</w:t>
      </w:r>
      <w:r w:rsidR="00193B88">
        <w:rPr>
          <w:rFonts w:cstheme="minorHAnsi"/>
          <w:sz w:val="20"/>
          <w:szCs w:val="20"/>
        </w:rPr>
        <w:t>: Sonya Raybould</w:t>
      </w:r>
    </w:p>
    <w:p w14:paraId="11394AF6" w14:textId="771F414F" w:rsidR="00CA40BE" w:rsidRDefault="00CA40BE">
      <w:pPr>
        <w:rPr>
          <w:rFonts w:cstheme="minorHAnsi"/>
          <w:sz w:val="20"/>
          <w:szCs w:val="20"/>
        </w:rPr>
      </w:pPr>
    </w:p>
    <w:p w14:paraId="05196033" w14:textId="50EC13D4" w:rsidR="00CA40BE" w:rsidRDefault="00CA40B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Review and Impact August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A40BE" w14:paraId="4A21EDFF" w14:textId="77777777" w:rsidTr="00CA40BE">
        <w:tc>
          <w:tcPr>
            <w:tcW w:w="6974" w:type="dxa"/>
          </w:tcPr>
          <w:p w14:paraId="13FA30D4" w14:textId="67F0A478" w:rsidR="00CA40BE" w:rsidRDefault="00CA40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Objective</w:t>
            </w:r>
          </w:p>
        </w:tc>
        <w:tc>
          <w:tcPr>
            <w:tcW w:w="6974" w:type="dxa"/>
          </w:tcPr>
          <w:p w14:paraId="002FF04A" w14:textId="1896DBE7" w:rsidR="00CA40BE" w:rsidRDefault="00CA40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Impact</w:t>
            </w:r>
          </w:p>
        </w:tc>
      </w:tr>
      <w:tr w:rsidR="00CA40BE" w14:paraId="603B351C" w14:textId="77777777" w:rsidTr="00CA40BE">
        <w:tc>
          <w:tcPr>
            <w:tcW w:w="6974" w:type="dxa"/>
          </w:tcPr>
          <w:p w14:paraId="12B42270" w14:textId="00FEB1DF" w:rsidR="00CA40BE" w:rsidRDefault="00CA40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raise attendance</w:t>
            </w:r>
            <w:r w:rsidR="00655BC5">
              <w:rPr>
                <w:rFonts w:cstheme="minorHAnsi"/>
                <w:sz w:val="20"/>
                <w:szCs w:val="20"/>
              </w:rPr>
              <w:t xml:space="preserve"> and lower persistent absence</w:t>
            </w:r>
          </w:p>
        </w:tc>
        <w:tc>
          <w:tcPr>
            <w:tcW w:w="6974" w:type="dxa"/>
          </w:tcPr>
          <w:p w14:paraId="131F61C7" w14:textId="673BB91B" w:rsidR="00655BC5" w:rsidRDefault="00655B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All children</w:t>
            </w:r>
          </w:p>
          <w:p w14:paraId="14DB46E7" w14:textId="0BE2B3FB" w:rsidR="00CA40BE" w:rsidRDefault="00CA40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attendance 94.77% attendance for the academic year 2021-22</w:t>
            </w:r>
          </w:p>
          <w:p w14:paraId="09BFE315" w14:textId="77777777" w:rsidR="00CA40BE" w:rsidRDefault="00CA40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 11.2%</w:t>
            </w:r>
          </w:p>
          <w:p w14:paraId="2D80FE8B" w14:textId="77777777" w:rsidR="00CA40BE" w:rsidRDefault="00CA40BE">
            <w:pPr>
              <w:rPr>
                <w:rFonts w:cstheme="minorHAnsi"/>
                <w:sz w:val="20"/>
                <w:szCs w:val="20"/>
              </w:rPr>
            </w:pPr>
          </w:p>
          <w:p w14:paraId="2343AFFD" w14:textId="77777777" w:rsidR="00655BC5" w:rsidRDefault="00655B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PPG children</w:t>
            </w:r>
          </w:p>
          <w:p w14:paraId="1DB9E965" w14:textId="77777777" w:rsidR="00655BC5" w:rsidRDefault="00655B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School attendance 94.65% attendance for the academic year 2021-22</w:t>
            </w:r>
          </w:p>
          <w:p w14:paraId="2399D989" w14:textId="38FA482D" w:rsidR="00655BC5" w:rsidRDefault="00655BC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 10.6%</w:t>
            </w:r>
          </w:p>
        </w:tc>
      </w:tr>
      <w:tr w:rsidR="00CA40BE" w14:paraId="0A9CE898" w14:textId="77777777" w:rsidTr="00CA40BE">
        <w:tc>
          <w:tcPr>
            <w:tcW w:w="6974" w:type="dxa"/>
          </w:tcPr>
          <w:p w14:paraId="5A7152EE" w14:textId="67F3B720" w:rsidR="00CA40BE" w:rsidRDefault="00B324EF">
            <w:pPr>
              <w:rPr>
                <w:rFonts w:cstheme="minorHAnsi"/>
                <w:sz w:val="20"/>
                <w:szCs w:val="20"/>
              </w:rPr>
            </w:pPr>
            <w:r w:rsidRPr="00170340">
              <w:rPr>
                <w:rFonts w:cstheme="minorHAnsi"/>
                <w:sz w:val="20"/>
                <w:szCs w:val="20"/>
              </w:rPr>
              <w:t>Raise</w:t>
            </w:r>
            <w:r>
              <w:rPr>
                <w:rFonts w:cstheme="minorHAnsi"/>
                <w:sz w:val="20"/>
                <w:szCs w:val="20"/>
              </w:rPr>
              <w:t xml:space="preserve"> acquisition of English – new to English children and widen vocabulary of all children</w:t>
            </w:r>
          </w:p>
        </w:tc>
        <w:tc>
          <w:tcPr>
            <w:tcW w:w="6974" w:type="dxa"/>
          </w:tcPr>
          <w:p w14:paraId="4887538B" w14:textId="331F52BC" w:rsidR="00CA40BE" w:rsidRDefault="00707C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23 children out of 477 have not made sufficient progress in acquisition of English language, of these 23 </w:t>
            </w:r>
            <w:proofErr w:type="gramStart"/>
            <w:r>
              <w:rPr>
                <w:rFonts w:cstheme="minorHAnsi"/>
                <w:sz w:val="20"/>
                <w:szCs w:val="20"/>
              </w:rPr>
              <w:t>children ,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8 are in receipt  of the PPG grant. All targeted for intervention through the next academic year.</w:t>
            </w:r>
          </w:p>
        </w:tc>
      </w:tr>
      <w:tr w:rsidR="00CA40BE" w14:paraId="3F671A64" w14:textId="77777777" w:rsidTr="00CA40BE">
        <w:tc>
          <w:tcPr>
            <w:tcW w:w="6974" w:type="dxa"/>
          </w:tcPr>
          <w:p w14:paraId="4093D4AD" w14:textId="399B20D2" w:rsidR="00CA40BE" w:rsidRDefault="00707C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Children increase knowledge of the world around them through wider experiences.</w:t>
            </w:r>
          </w:p>
        </w:tc>
        <w:tc>
          <w:tcPr>
            <w:tcW w:w="6974" w:type="dxa"/>
          </w:tcPr>
          <w:p w14:paraId="0252D94D" w14:textId="18D0BA9C" w:rsidR="00CA40BE" w:rsidRDefault="00707CB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All PPG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have attended trips, </w:t>
            </w:r>
            <w:r w:rsidR="00046276">
              <w:rPr>
                <w:rFonts w:cstheme="minorHAnsi"/>
                <w:sz w:val="20"/>
                <w:szCs w:val="20"/>
              </w:rPr>
              <w:t>the music lead has contacted families regarding Rock Steady and music instrument tuition. Free fruit a big success. Free book at recent book fair.</w:t>
            </w:r>
          </w:p>
        </w:tc>
      </w:tr>
      <w:tr w:rsidR="00CA40BE" w14:paraId="136F1DCA" w14:textId="77777777" w:rsidTr="00CA40BE">
        <w:tc>
          <w:tcPr>
            <w:tcW w:w="6974" w:type="dxa"/>
          </w:tcPr>
          <w:p w14:paraId="716C49BE" w14:textId="3F3AC6C2" w:rsidR="00CA40BE" w:rsidRDefault="000462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ensure that PPG children make progress and achieve across the curriculum.</w:t>
            </w:r>
          </w:p>
        </w:tc>
        <w:tc>
          <w:tcPr>
            <w:tcW w:w="6974" w:type="dxa"/>
          </w:tcPr>
          <w:p w14:paraId="4E7B34B0" w14:textId="77777777" w:rsidR="00CA40BE" w:rsidRDefault="000462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KS2 data</w:t>
            </w:r>
          </w:p>
          <w:p w14:paraId="49E14F3A" w14:textId="77777777" w:rsidR="00046276" w:rsidRDefault="000462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Reading</w:t>
            </w:r>
            <w:r w:rsidR="00276D79">
              <w:rPr>
                <w:rFonts w:cstheme="minorHAnsi"/>
                <w:sz w:val="20"/>
                <w:szCs w:val="20"/>
              </w:rPr>
              <w:t xml:space="preserve"> – all </w:t>
            </w:r>
            <w:proofErr w:type="spellStart"/>
            <w:r w:rsidR="00276D79">
              <w:rPr>
                <w:rFonts w:cstheme="minorHAnsi"/>
                <w:sz w:val="20"/>
                <w:szCs w:val="20"/>
              </w:rPr>
              <w:t>ch</w:t>
            </w:r>
            <w:proofErr w:type="spellEnd"/>
            <w:r w:rsidR="00276D79">
              <w:rPr>
                <w:rFonts w:cstheme="minorHAnsi"/>
                <w:sz w:val="20"/>
                <w:szCs w:val="20"/>
              </w:rPr>
              <w:t xml:space="preserve"> 71%, PPG 69%</w:t>
            </w:r>
          </w:p>
          <w:p w14:paraId="1E762F17" w14:textId="77777777" w:rsidR="00276D79" w:rsidRDefault="00276D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Writing – all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71%, PPG 62%</w:t>
            </w:r>
          </w:p>
          <w:p w14:paraId="5F89DC59" w14:textId="77777777" w:rsidR="00276D79" w:rsidRDefault="00276D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Maths – all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78%, PPG 67%</w:t>
            </w:r>
          </w:p>
          <w:p w14:paraId="6255DF94" w14:textId="667DD8BE" w:rsidR="00276D79" w:rsidRDefault="00276D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Combined – all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55%, PPG 46%</w:t>
            </w:r>
          </w:p>
        </w:tc>
      </w:tr>
    </w:tbl>
    <w:p w14:paraId="23C73A01" w14:textId="77777777" w:rsidR="00CA40BE" w:rsidRPr="00CB2876" w:rsidRDefault="00CA40BE">
      <w:pPr>
        <w:rPr>
          <w:rFonts w:cstheme="minorHAnsi"/>
          <w:sz w:val="20"/>
          <w:szCs w:val="20"/>
        </w:rPr>
      </w:pPr>
    </w:p>
    <w:sectPr w:rsidR="00CA40BE" w:rsidRPr="00CB2876" w:rsidSect="0074003D">
      <w:headerReference w:type="default" r:id="rId10"/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4F5C6" w14:textId="77777777" w:rsidR="0037052D" w:rsidRDefault="0037052D" w:rsidP="00831659">
      <w:pPr>
        <w:spacing w:after="0" w:line="240" w:lineRule="auto"/>
      </w:pPr>
      <w:r>
        <w:separator/>
      </w:r>
    </w:p>
  </w:endnote>
  <w:endnote w:type="continuationSeparator" w:id="0">
    <w:p w14:paraId="3F5A3F59" w14:textId="77777777" w:rsidR="0037052D" w:rsidRDefault="0037052D" w:rsidP="0083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0001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F08D0" w14:textId="77777777" w:rsidR="0065652F" w:rsidRDefault="00656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3B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31FF02" w14:textId="77777777" w:rsidR="0065652F" w:rsidRDefault="00656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81670" w14:textId="77777777" w:rsidR="0037052D" w:rsidRDefault="0037052D" w:rsidP="00831659">
      <w:pPr>
        <w:spacing w:after="0" w:line="240" w:lineRule="auto"/>
      </w:pPr>
      <w:r>
        <w:separator/>
      </w:r>
    </w:p>
  </w:footnote>
  <w:footnote w:type="continuationSeparator" w:id="0">
    <w:p w14:paraId="29192BA0" w14:textId="77777777" w:rsidR="0037052D" w:rsidRDefault="0037052D" w:rsidP="0083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9300" w14:textId="77777777" w:rsidR="0065652F" w:rsidRDefault="0065652F" w:rsidP="0049166B">
    <w:pPr>
      <w:pStyle w:val="Header"/>
      <w:rPr>
        <w:b/>
      </w:rPr>
    </w:pPr>
    <w:r>
      <w:rPr>
        <w:noProof/>
        <w:lang w:eastAsia="en-GB"/>
      </w:rPr>
      <w:drawing>
        <wp:inline distT="0" distB="0" distL="0" distR="0" wp14:anchorId="2B1ECA0B" wp14:editId="5739E4FB">
          <wp:extent cx="1426210" cy="526415"/>
          <wp:effectExtent l="0" t="0" r="2540" b="6985"/>
          <wp:docPr id="5" name="Picture 4" descr="LEAD_logo_strap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EAD_logo_strap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                          Uplands Junior </w:t>
    </w:r>
    <w:proofErr w:type="gramStart"/>
    <w:r>
      <w:rPr>
        <w:b/>
      </w:rPr>
      <w:t>LEAD</w:t>
    </w:r>
    <w:proofErr w:type="gramEnd"/>
    <w:r>
      <w:rPr>
        <w:b/>
      </w:rPr>
      <w:t xml:space="preserve"> Academy</w:t>
    </w:r>
  </w:p>
  <w:p w14:paraId="72A565A0" w14:textId="77777777" w:rsidR="0065652F" w:rsidRPr="0049166B" w:rsidRDefault="0065652F" w:rsidP="0049166B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54E"/>
    <w:multiLevelType w:val="hybridMultilevel"/>
    <w:tmpl w:val="CADCD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F4535"/>
    <w:multiLevelType w:val="hybridMultilevel"/>
    <w:tmpl w:val="88188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4D42"/>
    <w:multiLevelType w:val="hybridMultilevel"/>
    <w:tmpl w:val="6002C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92276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5645E35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B08028C"/>
    <w:multiLevelType w:val="multilevel"/>
    <w:tmpl w:val="ACE2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1625D"/>
    <w:multiLevelType w:val="hybridMultilevel"/>
    <w:tmpl w:val="51661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433A8"/>
    <w:multiLevelType w:val="multilevel"/>
    <w:tmpl w:val="E6B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6461D"/>
    <w:multiLevelType w:val="multilevel"/>
    <w:tmpl w:val="1A1A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203726D"/>
    <w:multiLevelType w:val="hybridMultilevel"/>
    <w:tmpl w:val="2EF02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0122"/>
    <w:multiLevelType w:val="multilevel"/>
    <w:tmpl w:val="2EF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B592E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637355B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8352B68"/>
    <w:multiLevelType w:val="hybridMultilevel"/>
    <w:tmpl w:val="BCEC3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DB0DD2"/>
    <w:multiLevelType w:val="hybridMultilevel"/>
    <w:tmpl w:val="E4EE1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7076E"/>
    <w:multiLevelType w:val="hybridMultilevel"/>
    <w:tmpl w:val="8ACE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45EAD"/>
    <w:multiLevelType w:val="multilevel"/>
    <w:tmpl w:val="A884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080A27"/>
    <w:multiLevelType w:val="hybridMultilevel"/>
    <w:tmpl w:val="75166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503563"/>
    <w:multiLevelType w:val="hybridMultilevel"/>
    <w:tmpl w:val="8EC0048E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0" w15:restartNumberingAfterBreak="0">
    <w:nsid w:val="78B04D6B"/>
    <w:multiLevelType w:val="hybridMultilevel"/>
    <w:tmpl w:val="AF6AF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32DF3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07338257">
    <w:abstractNumId w:val="10"/>
  </w:num>
  <w:num w:numId="2" w16cid:durableId="721103204">
    <w:abstractNumId w:val="1"/>
  </w:num>
  <w:num w:numId="3" w16cid:durableId="223687318">
    <w:abstractNumId w:val="2"/>
  </w:num>
  <w:num w:numId="4" w16cid:durableId="999844294">
    <w:abstractNumId w:val="9"/>
  </w:num>
  <w:num w:numId="5" w16cid:durableId="1972519763">
    <w:abstractNumId w:val="18"/>
  </w:num>
  <w:num w:numId="6" w16cid:durableId="11347105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7551606">
    <w:abstractNumId w:val="18"/>
  </w:num>
  <w:num w:numId="8" w16cid:durableId="695041632">
    <w:abstractNumId w:val="14"/>
  </w:num>
  <w:num w:numId="9" w16cid:durableId="1777358994">
    <w:abstractNumId w:val="15"/>
  </w:num>
  <w:num w:numId="10" w16cid:durableId="1827282242">
    <w:abstractNumId w:val="3"/>
  </w:num>
  <w:num w:numId="11" w16cid:durableId="2043626605">
    <w:abstractNumId w:val="21"/>
  </w:num>
  <w:num w:numId="12" w16cid:durableId="1186209626">
    <w:abstractNumId w:val="4"/>
  </w:num>
  <w:num w:numId="13" w16cid:durableId="1572303104">
    <w:abstractNumId w:val="12"/>
  </w:num>
  <w:num w:numId="14" w16cid:durableId="1453597551">
    <w:abstractNumId w:val="0"/>
  </w:num>
  <w:num w:numId="15" w16cid:durableId="47537205">
    <w:abstractNumId w:val="13"/>
  </w:num>
  <w:num w:numId="16" w16cid:durableId="1003823844">
    <w:abstractNumId w:val="6"/>
  </w:num>
  <w:num w:numId="17" w16cid:durableId="1769545555">
    <w:abstractNumId w:val="19"/>
  </w:num>
  <w:num w:numId="18" w16cid:durableId="1943755391">
    <w:abstractNumId w:val="17"/>
  </w:num>
  <w:num w:numId="19" w16cid:durableId="981470012">
    <w:abstractNumId w:val="11"/>
  </w:num>
  <w:num w:numId="20" w16cid:durableId="380330798">
    <w:abstractNumId w:val="5"/>
  </w:num>
  <w:num w:numId="21" w16cid:durableId="726033698">
    <w:abstractNumId w:val="7"/>
  </w:num>
  <w:num w:numId="22" w16cid:durableId="765342082">
    <w:abstractNumId w:val="8"/>
  </w:num>
  <w:num w:numId="23" w16cid:durableId="418140041">
    <w:abstractNumId w:val="16"/>
  </w:num>
  <w:num w:numId="24" w16cid:durableId="12412566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61"/>
    <w:rsid w:val="000061E5"/>
    <w:rsid w:val="000149F5"/>
    <w:rsid w:val="0002731F"/>
    <w:rsid w:val="00046276"/>
    <w:rsid w:val="0005242D"/>
    <w:rsid w:val="00054632"/>
    <w:rsid w:val="000571B7"/>
    <w:rsid w:val="000655EA"/>
    <w:rsid w:val="00083216"/>
    <w:rsid w:val="00092977"/>
    <w:rsid w:val="000A0D58"/>
    <w:rsid w:val="000B371F"/>
    <w:rsid w:val="000D3B11"/>
    <w:rsid w:val="000D6CC9"/>
    <w:rsid w:val="000D72B5"/>
    <w:rsid w:val="000F5471"/>
    <w:rsid w:val="001028A9"/>
    <w:rsid w:val="00112038"/>
    <w:rsid w:val="001152F8"/>
    <w:rsid w:val="00117777"/>
    <w:rsid w:val="00117977"/>
    <w:rsid w:val="00123D4F"/>
    <w:rsid w:val="00145DF5"/>
    <w:rsid w:val="001664AA"/>
    <w:rsid w:val="00170340"/>
    <w:rsid w:val="0019272E"/>
    <w:rsid w:val="00193B88"/>
    <w:rsid w:val="001956C4"/>
    <w:rsid w:val="001A156F"/>
    <w:rsid w:val="001B5229"/>
    <w:rsid w:val="001B6CFB"/>
    <w:rsid w:val="001C1006"/>
    <w:rsid w:val="001C53AC"/>
    <w:rsid w:val="001D6D9D"/>
    <w:rsid w:val="001E0333"/>
    <w:rsid w:val="001E124E"/>
    <w:rsid w:val="001F0776"/>
    <w:rsid w:val="001F5C6D"/>
    <w:rsid w:val="002065B7"/>
    <w:rsid w:val="00213B18"/>
    <w:rsid w:val="00226361"/>
    <w:rsid w:val="002359DB"/>
    <w:rsid w:val="0023690F"/>
    <w:rsid w:val="00247E27"/>
    <w:rsid w:val="00251F9D"/>
    <w:rsid w:val="00256527"/>
    <w:rsid w:val="00264450"/>
    <w:rsid w:val="00264BD7"/>
    <w:rsid w:val="0027157B"/>
    <w:rsid w:val="0027431D"/>
    <w:rsid w:val="00274FF4"/>
    <w:rsid w:val="00276D79"/>
    <w:rsid w:val="00287283"/>
    <w:rsid w:val="00293C03"/>
    <w:rsid w:val="002A21D0"/>
    <w:rsid w:val="002A2A2F"/>
    <w:rsid w:val="002D5A34"/>
    <w:rsid w:val="002D6757"/>
    <w:rsid w:val="002E4F32"/>
    <w:rsid w:val="002F4593"/>
    <w:rsid w:val="003243A3"/>
    <w:rsid w:val="00327D35"/>
    <w:rsid w:val="00337CAA"/>
    <w:rsid w:val="00341E50"/>
    <w:rsid w:val="0034222B"/>
    <w:rsid w:val="00363CFE"/>
    <w:rsid w:val="0037052D"/>
    <w:rsid w:val="003835D6"/>
    <w:rsid w:val="003877A3"/>
    <w:rsid w:val="003A5432"/>
    <w:rsid w:val="003F6FDA"/>
    <w:rsid w:val="00430EC2"/>
    <w:rsid w:val="0044009C"/>
    <w:rsid w:val="00476A7A"/>
    <w:rsid w:val="00490359"/>
    <w:rsid w:val="0049166B"/>
    <w:rsid w:val="004F285C"/>
    <w:rsid w:val="00501136"/>
    <w:rsid w:val="005253B1"/>
    <w:rsid w:val="00527144"/>
    <w:rsid w:val="00545913"/>
    <w:rsid w:val="00551DFD"/>
    <w:rsid w:val="0056548A"/>
    <w:rsid w:val="0057359D"/>
    <w:rsid w:val="0057367F"/>
    <w:rsid w:val="00582D04"/>
    <w:rsid w:val="005847AD"/>
    <w:rsid w:val="00585141"/>
    <w:rsid w:val="005A2694"/>
    <w:rsid w:val="005A65F0"/>
    <w:rsid w:val="005D3145"/>
    <w:rsid w:val="005E25BD"/>
    <w:rsid w:val="005E4043"/>
    <w:rsid w:val="005E7CAC"/>
    <w:rsid w:val="005F49DD"/>
    <w:rsid w:val="005F5921"/>
    <w:rsid w:val="00600F08"/>
    <w:rsid w:val="00602561"/>
    <w:rsid w:val="00603248"/>
    <w:rsid w:val="00616C71"/>
    <w:rsid w:val="00616CB6"/>
    <w:rsid w:val="0063031C"/>
    <w:rsid w:val="00634C99"/>
    <w:rsid w:val="00635740"/>
    <w:rsid w:val="00635CDB"/>
    <w:rsid w:val="00636326"/>
    <w:rsid w:val="006402FC"/>
    <w:rsid w:val="00644E96"/>
    <w:rsid w:val="00655BC5"/>
    <w:rsid w:val="0065652F"/>
    <w:rsid w:val="006608CB"/>
    <w:rsid w:val="006650D8"/>
    <w:rsid w:val="00677B70"/>
    <w:rsid w:val="00680753"/>
    <w:rsid w:val="006B261E"/>
    <w:rsid w:val="006C0992"/>
    <w:rsid w:val="006C3DFC"/>
    <w:rsid w:val="006C48F9"/>
    <w:rsid w:val="006C4923"/>
    <w:rsid w:val="006C61F9"/>
    <w:rsid w:val="006D1D37"/>
    <w:rsid w:val="006D55D1"/>
    <w:rsid w:val="006E30EA"/>
    <w:rsid w:val="006F31E9"/>
    <w:rsid w:val="006F7A38"/>
    <w:rsid w:val="007041C2"/>
    <w:rsid w:val="00707CB0"/>
    <w:rsid w:val="00737C76"/>
    <w:rsid w:val="0074003D"/>
    <w:rsid w:val="00742B48"/>
    <w:rsid w:val="00780835"/>
    <w:rsid w:val="00786661"/>
    <w:rsid w:val="007A6DC7"/>
    <w:rsid w:val="007C2048"/>
    <w:rsid w:val="007D4451"/>
    <w:rsid w:val="007D7942"/>
    <w:rsid w:val="007E2FFB"/>
    <w:rsid w:val="007E6279"/>
    <w:rsid w:val="007F3A59"/>
    <w:rsid w:val="007F6015"/>
    <w:rsid w:val="00802955"/>
    <w:rsid w:val="00830452"/>
    <w:rsid w:val="00831659"/>
    <w:rsid w:val="008407F7"/>
    <w:rsid w:val="008735DF"/>
    <w:rsid w:val="008830F8"/>
    <w:rsid w:val="00884069"/>
    <w:rsid w:val="008917BF"/>
    <w:rsid w:val="008978E9"/>
    <w:rsid w:val="008B563A"/>
    <w:rsid w:val="008D49C2"/>
    <w:rsid w:val="008F51A7"/>
    <w:rsid w:val="009016C0"/>
    <w:rsid w:val="009046F6"/>
    <w:rsid w:val="00906A02"/>
    <w:rsid w:val="009125C6"/>
    <w:rsid w:val="009153AB"/>
    <w:rsid w:val="009254CF"/>
    <w:rsid w:val="00933E9F"/>
    <w:rsid w:val="00950FF2"/>
    <w:rsid w:val="00953F6F"/>
    <w:rsid w:val="00955234"/>
    <w:rsid w:val="0095571D"/>
    <w:rsid w:val="00981228"/>
    <w:rsid w:val="009862BE"/>
    <w:rsid w:val="009A5C50"/>
    <w:rsid w:val="009B083F"/>
    <w:rsid w:val="009B0A3D"/>
    <w:rsid w:val="009C643B"/>
    <w:rsid w:val="009D33EF"/>
    <w:rsid w:val="009E2DBA"/>
    <w:rsid w:val="009F646A"/>
    <w:rsid w:val="00A07F62"/>
    <w:rsid w:val="00A13817"/>
    <w:rsid w:val="00A3138D"/>
    <w:rsid w:val="00A500DC"/>
    <w:rsid w:val="00A5384A"/>
    <w:rsid w:val="00A614BF"/>
    <w:rsid w:val="00A62882"/>
    <w:rsid w:val="00A6291A"/>
    <w:rsid w:val="00A7250B"/>
    <w:rsid w:val="00A72EFD"/>
    <w:rsid w:val="00A94032"/>
    <w:rsid w:val="00AA2D7B"/>
    <w:rsid w:val="00AA6CA0"/>
    <w:rsid w:val="00AB292F"/>
    <w:rsid w:val="00AD0FDB"/>
    <w:rsid w:val="00AD35F0"/>
    <w:rsid w:val="00AF60DD"/>
    <w:rsid w:val="00AF6D37"/>
    <w:rsid w:val="00B010EC"/>
    <w:rsid w:val="00B02615"/>
    <w:rsid w:val="00B109CE"/>
    <w:rsid w:val="00B1365A"/>
    <w:rsid w:val="00B2279C"/>
    <w:rsid w:val="00B24699"/>
    <w:rsid w:val="00B25958"/>
    <w:rsid w:val="00B264B6"/>
    <w:rsid w:val="00B31BF1"/>
    <w:rsid w:val="00B324EF"/>
    <w:rsid w:val="00B42907"/>
    <w:rsid w:val="00B964BA"/>
    <w:rsid w:val="00BA0B2B"/>
    <w:rsid w:val="00BB07FF"/>
    <w:rsid w:val="00BB3765"/>
    <w:rsid w:val="00BC63FD"/>
    <w:rsid w:val="00BD0FDC"/>
    <w:rsid w:val="00BE2C11"/>
    <w:rsid w:val="00BF23B7"/>
    <w:rsid w:val="00BF7D3F"/>
    <w:rsid w:val="00C0653E"/>
    <w:rsid w:val="00C26EBD"/>
    <w:rsid w:val="00C30CAE"/>
    <w:rsid w:val="00C913F3"/>
    <w:rsid w:val="00C92950"/>
    <w:rsid w:val="00C94E2E"/>
    <w:rsid w:val="00CA40BE"/>
    <w:rsid w:val="00CA79FE"/>
    <w:rsid w:val="00CB2876"/>
    <w:rsid w:val="00CB40C6"/>
    <w:rsid w:val="00CB5558"/>
    <w:rsid w:val="00CB5E1A"/>
    <w:rsid w:val="00CF6E95"/>
    <w:rsid w:val="00CF7320"/>
    <w:rsid w:val="00D1177A"/>
    <w:rsid w:val="00D16241"/>
    <w:rsid w:val="00D304AE"/>
    <w:rsid w:val="00D52D2F"/>
    <w:rsid w:val="00D63696"/>
    <w:rsid w:val="00D87F76"/>
    <w:rsid w:val="00DC32DC"/>
    <w:rsid w:val="00DC7BBD"/>
    <w:rsid w:val="00DD3A27"/>
    <w:rsid w:val="00DD4353"/>
    <w:rsid w:val="00DE37CC"/>
    <w:rsid w:val="00DF0874"/>
    <w:rsid w:val="00DF0BAF"/>
    <w:rsid w:val="00E15569"/>
    <w:rsid w:val="00E26C37"/>
    <w:rsid w:val="00E4463A"/>
    <w:rsid w:val="00E54D44"/>
    <w:rsid w:val="00E909AE"/>
    <w:rsid w:val="00E91754"/>
    <w:rsid w:val="00E91FCA"/>
    <w:rsid w:val="00EB15AC"/>
    <w:rsid w:val="00EC0AB3"/>
    <w:rsid w:val="00EF26DC"/>
    <w:rsid w:val="00EF74E6"/>
    <w:rsid w:val="00F27E1D"/>
    <w:rsid w:val="00F33920"/>
    <w:rsid w:val="00F63B8C"/>
    <w:rsid w:val="00F87F6A"/>
    <w:rsid w:val="00FB7286"/>
    <w:rsid w:val="00F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3B4E"/>
  <w15:docId w15:val="{645EABFA-9FDD-41E1-91CD-15E4EF8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66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1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659"/>
  </w:style>
  <w:style w:type="paragraph" w:styleId="Footer">
    <w:name w:val="footer"/>
    <w:basedOn w:val="Normal"/>
    <w:link w:val="FooterChar"/>
    <w:uiPriority w:val="99"/>
    <w:unhideWhenUsed/>
    <w:rsid w:val="00831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659"/>
  </w:style>
  <w:style w:type="character" w:styleId="Hyperlink">
    <w:name w:val="Hyperlink"/>
    <w:basedOn w:val="DefaultParagraphFont"/>
    <w:uiPriority w:val="99"/>
    <w:unhideWhenUsed/>
    <w:rsid w:val="007A6DC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A21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5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7D3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94E2E"/>
    <w:rPr>
      <w:i/>
      <w:iCs/>
    </w:rPr>
  </w:style>
  <w:style w:type="character" w:styleId="Strong">
    <w:name w:val="Strong"/>
    <w:basedOn w:val="DefaultParagraphFont"/>
    <w:uiPriority w:val="22"/>
    <w:qFormat/>
    <w:rsid w:val="00293C03"/>
    <w:rPr>
      <w:b/>
      <w:bCs/>
    </w:rPr>
  </w:style>
  <w:style w:type="paragraph" w:styleId="NormalWeb">
    <w:name w:val="Normal (Web)"/>
    <w:basedOn w:val="Normal"/>
    <w:uiPriority w:val="99"/>
    <w:unhideWhenUsed/>
    <w:rsid w:val="00293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2tic4wvo1iusb.cloudfront.net/documents/guidance/EAL_Systematic_review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DD692-5099-48A2-B5AA-5530A60D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Maxine Clewlow</dc:creator>
  <cp:lastModifiedBy>Lucy Carlisle</cp:lastModifiedBy>
  <cp:revision>6</cp:revision>
  <cp:lastPrinted>2022-03-03T12:46:00Z</cp:lastPrinted>
  <dcterms:created xsi:type="dcterms:W3CDTF">2022-02-28T15:27:00Z</dcterms:created>
  <dcterms:modified xsi:type="dcterms:W3CDTF">2022-07-26T16:46:00Z</dcterms:modified>
</cp:coreProperties>
</file>